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DD" w:rsidRDefault="00DB77DD" w:rsidP="00DB77DD">
      <w:pPr>
        <w:tabs>
          <w:tab w:val="left" w:pos="1410"/>
        </w:tabs>
        <w:ind w:left="1410"/>
        <w:jc w:val="center"/>
      </w:pPr>
      <w:bookmarkStart w:id="0" w:name="_GoBack"/>
      <w:bookmarkEnd w:id="0"/>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rsidR="009E2B22" w:rsidRPr="00DE1432" w:rsidRDefault="009E2B22" w:rsidP="00DB77DD">
      <w:pPr>
        <w:tabs>
          <w:tab w:val="left" w:pos="1410"/>
        </w:tabs>
      </w:pPr>
      <w:r>
        <w:t xml:space="preserve">                           </w:t>
      </w:r>
    </w:p>
    <w:p w:rsidR="009E2B22" w:rsidRDefault="009E2B22" w:rsidP="009E2B22">
      <w:pPr>
        <w:tabs>
          <w:tab w:val="left" w:pos="1410"/>
        </w:tabs>
      </w:pPr>
      <w:r>
        <w:t xml:space="preserve">                                                                                                                                   </w:t>
      </w:r>
      <w:r w:rsidR="00086485">
        <w:t xml:space="preserve">              </w:t>
      </w:r>
      <w:r w:rsidR="002E5339">
        <w:t>Date:  31/8/2016</w:t>
      </w:r>
      <w:r>
        <w:t xml:space="preserve">                                  </w:t>
      </w:r>
    </w:p>
    <w:p w:rsidR="009E2B22" w:rsidRPr="009E2B22" w:rsidRDefault="00B01367" w:rsidP="009E2B22">
      <w:pPr>
        <w:tabs>
          <w:tab w:val="left" w:pos="141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2D153"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65710B" w:rsidRPr="009E2B22" w:rsidRDefault="0065710B" w:rsidP="0065710B">
      <w:pPr>
        <w:tabs>
          <w:tab w:val="left" w:pos="1410"/>
        </w:tabs>
        <w:rPr>
          <w:b/>
        </w:rPr>
      </w:pPr>
      <w:r w:rsidRPr="009E2B22">
        <w:rPr>
          <w:b/>
        </w:rPr>
        <w:t>Country:</w:t>
      </w:r>
      <w:r w:rsidR="002E5339">
        <w:rPr>
          <w:b/>
        </w:rPr>
        <w:t xml:space="preserve"> Kuwait </w:t>
      </w:r>
    </w:p>
    <w:p w:rsidR="0065710B" w:rsidRPr="009E2B22" w:rsidRDefault="002E5339" w:rsidP="0065710B">
      <w:pPr>
        <w:tabs>
          <w:tab w:val="left" w:pos="1410"/>
        </w:tabs>
        <w:rPr>
          <w:b/>
        </w:rPr>
      </w:pPr>
      <w:r>
        <w:rPr>
          <w:b/>
        </w:rPr>
        <w:t xml:space="preserve">Title </w:t>
      </w:r>
      <w:r w:rsidR="0065710B">
        <w:rPr>
          <w:b/>
        </w:rPr>
        <w:t>of the assignment</w:t>
      </w:r>
      <w:r w:rsidR="0065710B" w:rsidRPr="009E2B22">
        <w:rPr>
          <w:b/>
        </w:rPr>
        <w:t>:</w:t>
      </w:r>
      <w:r>
        <w:rPr>
          <w:b/>
        </w:rPr>
        <w:t xml:space="preserve"> Labour Market Research Consultant</w:t>
      </w:r>
    </w:p>
    <w:p w:rsidR="0065710B" w:rsidRPr="009E2B22" w:rsidRDefault="0065710B" w:rsidP="0065710B">
      <w:pPr>
        <w:tabs>
          <w:tab w:val="left" w:pos="1410"/>
        </w:tabs>
        <w:rPr>
          <w:b/>
        </w:rPr>
      </w:pPr>
      <w:r w:rsidRPr="009E2B22">
        <w:rPr>
          <w:b/>
        </w:rPr>
        <w:t>Project name:</w:t>
      </w:r>
      <w:r w:rsidR="002E5339">
        <w:rPr>
          <w:b/>
        </w:rPr>
        <w:t xml:space="preserve"> The Joint Program to Support the Public Authority of the Manpower</w:t>
      </w:r>
    </w:p>
    <w:p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2E5339">
        <w:rPr>
          <w:b/>
        </w:rPr>
        <w:t xml:space="preserve"> 3 months</w:t>
      </w:r>
    </w:p>
    <w:p w:rsidR="0065710B" w:rsidRDefault="0065710B" w:rsidP="002E5339">
      <w:pPr>
        <w:tabs>
          <w:tab w:val="left" w:pos="1410"/>
        </w:tabs>
        <w:jc w:val="both"/>
      </w:pPr>
      <w:r>
        <w:t xml:space="preserve">Proposal should be submitted </w:t>
      </w:r>
      <w:r w:rsidR="002E5339">
        <w:t>through the UNDP portal within 3 weeks from the announcement date.</w:t>
      </w:r>
    </w:p>
    <w:p w:rsidR="0065710B" w:rsidRDefault="0065710B" w:rsidP="002E5339">
      <w:pPr>
        <w:tabs>
          <w:tab w:val="left" w:pos="1410"/>
        </w:tabs>
        <w:jc w:val="both"/>
      </w:pPr>
      <w:r>
        <w:t xml:space="preserve">Any request for clarification must be sent in writing, or by standard electronic communication to the address </w:t>
      </w:r>
      <w:r w:rsidR="002E5339">
        <w:t>to procurement.kw@undp.org</w:t>
      </w:r>
      <w:r>
        <w:t xml:space="preserve">. </w:t>
      </w:r>
      <w:r w:rsidR="002E5339">
        <w:t>The procurement department,</w:t>
      </w:r>
      <w:r>
        <w:t xml:space="preserve"> will respond in writing or by standard electronic mail and will send written copies of the response, including an explanation of the query without identifying the source of inquiry, to all consultants.</w:t>
      </w:r>
    </w:p>
    <w:p w:rsidR="009E2B22" w:rsidRDefault="00B01367" w:rsidP="009E2B22">
      <w:pPr>
        <w:tabs>
          <w:tab w:val="left" w:pos="141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108585</wp:posOffset>
                </wp:positionV>
                <wp:extent cx="6638925" cy="0"/>
                <wp:effectExtent l="28575" t="35560" r="28575"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676E6"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rsidRPr="003E1F72" w:rsidTr="0065710B">
        <w:tc>
          <w:tcPr>
            <w:tcW w:w="9576" w:type="dxa"/>
          </w:tcPr>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The Government of the State of Kuwait and UNDP are keen to enhance the strategic planning function of the State in order to ensure the optimal use and best distribution of available resources to support social and economic progress therby leading to improved economic growth and enhanced quality of life of its citizens.</w:t>
            </w:r>
          </w:p>
          <w:p w:rsidR="002E5339" w:rsidRPr="003E1F72" w:rsidRDefault="002E5339" w:rsidP="002E5339">
            <w:pPr>
              <w:tabs>
                <w:tab w:val="left" w:pos="450"/>
              </w:tabs>
              <w:ind w:right="181"/>
              <w:jc w:val="both"/>
              <w:rPr>
                <w:rFonts w:ascii="Calibri" w:hAnsi="Calibri"/>
                <w:noProof/>
                <w:lang w:val="en-CA"/>
              </w:rPr>
            </w:pPr>
          </w:p>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 xml:space="preserve">The Public Autjority of Manpower (PAM) is partnering with the United Nations Development Program (UNDP), the International Organization for Migration (IOM), and the Internatioanl Labor Organization (ILO) for implementation of “Support the PAM” programme. </w:t>
            </w:r>
          </w:p>
          <w:p w:rsidR="002E5339" w:rsidRPr="003E1F72" w:rsidRDefault="002E5339" w:rsidP="002E5339">
            <w:pPr>
              <w:tabs>
                <w:tab w:val="left" w:pos="450"/>
              </w:tabs>
              <w:ind w:right="181"/>
              <w:jc w:val="both"/>
              <w:rPr>
                <w:rFonts w:ascii="Calibri" w:hAnsi="Calibri"/>
                <w:noProof/>
                <w:lang w:val="en-CA"/>
              </w:rPr>
            </w:pPr>
          </w:p>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The Joint Programme addresses the 3rd outcome of the CPD 2015 – 2018 “Governance and institutional management are efficient, transperent, accessible, competitive, and accountable” and its results will support the achivement of the national strategic objectives of economic growth for the State of Kuwait, supporting human and social developmnet, improving demographic policies to support development, and effective government adminstration as outlined in the latest national Mid – Range Development Plan (2015/2016 – 2019/2020) under “Achieving institutional excellence”.</w:t>
            </w:r>
          </w:p>
          <w:p w:rsidR="002E5339" w:rsidRPr="003E1F72" w:rsidRDefault="002E5339" w:rsidP="002E5339">
            <w:pPr>
              <w:tabs>
                <w:tab w:val="left" w:pos="450"/>
              </w:tabs>
              <w:ind w:left="510" w:right="181"/>
              <w:jc w:val="both"/>
              <w:rPr>
                <w:rFonts w:ascii="Calibri" w:hAnsi="Calibri"/>
                <w:noProof/>
                <w:lang w:val="en-CA"/>
              </w:rPr>
            </w:pPr>
          </w:p>
          <w:p w:rsidR="002E5339" w:rsidRPr="003E1F72" w:rsidRDefault="002E5339" w:rsidP="002E5339">
            <w:pPr>
              <w:tabs>
                <w:tab w:val="left" w:pos="0"/>
                <w:tab w:val="left" w:pos="450"/>
              </w:tabs>
              <w:ind w:right="181"/>
              <w:jc w:val="both"/>
              <w:rPr>
                <w:rFonts w:ascii="Calibri" w:hAnsi="Calibri"/>
                <w:noProof/>
                <w:lang w:val="en-CA"/>
              </w:rPr>
            </w:pPr>
            <w:r w:rsidRPr="003E1F72">
              <w:rPr>
                <w:rFonts w:ascii="Calibri" w:hAnsi="Calibri"/>
                <w:noProof/>
                <w:lang w:val="en-CA"/>
              </w:rPr>
              <w:t>This Joint Programme aims at fullfilling the following outputs:</w:t>
            </w:r>
          </w:p>
          <w:p w:rsidR="002E5339" w:rsidRPr="003E1F72" w:rsidRDefault="002E5339" w:rsidP="002E5339">
            <w:pPr>
              <w:pStyle w:val="ListParagraph"/>
              <w:numPr>
                <w:ilvl w:val="0"/>
                <w:numId w:val="9"/>
              </w:numPr>
              <w:tabs>
                <w:tab w:val="left" w:pos="720"/>
              </w:tabs>
              <w:ind w:left="720" w:right="181" w:hanging="270"/>
              <w:jc w:val="both"/>
              <w:rPr>
                <w:rFonts w:ascii="Calibri" w:hAnsi="Calibri"/>
                <w:noProof/>
                <w:lang w:val="en-CA"/>
              </w:rPr>
            </w:pPr>
            <w:r w:rsidRPr="003E1F72">
              <w:rPr>
                <w:rFonts w:ascii="Calibri" w:hAnsi="Calibri"/>
                <w:noProof/>
                <w:lang w:val="en-CA"/>
              </w:rPr>
              <w:lastRenderedPageBreak/>
              <w:t>IOM: PAM has access to resources and methodologies that build capacity in evidence- based policy and programme development.</w:t>
            </w:r>
          </w:p>
          <w:p w:rsidR="002E5339" w:rsidRPr="003E1F72" w:rsidRDefault="002E5339" w:rsidP="002E5339">
            <w:pPr>
              <w:pStyle w:val="ListParagraph"/>
              <w:numPr>
                <w:ilvl w:val="0"/>
                <w:numId w:val="9"/>
              </w:numPr>
              <w:tabs>
                <w:tab w:val="left" w:pos="720"/>
              </w:tabs>
              <w:ind w:left="720" w:right="181" w:hanging="270"/>
              <w:jc w:val="both"/>
              <w:rPr>
                <w:rFonts w:ascii="Calibri" w:hAnsi="Calibri"/>
                <w:noProof/>
                <w:lang w:val="en-CA"/>
              </w:rPr>
            </w:pPr>
            <w:r w:rsidRPr="003E1F72">
              <w:rPr>
                <w:rFonts w:ascii="Calibri" w:hAnsi="Calibri"/>
                <w:noProof/>
                <w:lang w:val="en-CA"/>
              </w:rPr>
              <w:t>ILO: Improving the tripartite participation in the International Labor Standards system and promoting the application of conventions</w:t>
            </w:r>
          </w:p>
          <w:p w:rsidR="002E5339" w:rsidRPr="003E1F72" w:rsidRDefault="002E5339" w:rsidP="002E5339">
            <w:pPr>
              <w:pStyle w:val="ListParagraph"/>
              <w:numPr>
                <w:ilvl w:val="0"/>
                <w:numId w:val="9"/>
              </w:numPr>
              <w:tabs>
                <w:tab w:val="left" w:pos="720"/>
              </w:tabs>
              <w:ind w:left="720" w:right="181" w:hanging="270"/>
              <w:jc w:val="both"/>
              <w:rPr>
                <w:rFonts w:ascii="Calibri" w:hAnsi="Calibri"/>
                <w:noProof/>
                <w:lang w:val="en-CA"/>
              </w:rPr>
            </w:pPr>
            <w:r w:rsidRPr="003E1F72">
              <w:rPr>
                <w:rFonts w:ascii="Calibri" w:hAnsi="Calibri"/>
                <w:noProof/>
                <w:lang w:val="en-CA"/>
              </w:rPr>
              <w:t>ILO: Labor Inspection System modernized and effective in line with the ILS and OSH services improved and strenghtened.</w:t>
            </w:r>
          </w:p>
          <w:p w:rsidR="002E5339" w:rsidRPr="003E1F72" w:rsidRDefault="002E5339" w:rsidP="002E5339">
            <w:pPr>
              <w:pStyle w:val="ListParagraph"/>
              <w:numPr>
                <w:ilvl w:val="0"/>
                <w:numId w:val="9"/>
              </w:numPr>
              <w:tabs>
                <w:tab w:val="left" w:pos="720"/>
              </w:tabs>
              <w:ind w:left="720" w:right="181" w:hanging="270"/>
              <w:jc w:val="both"/>
              <w:rPr>
                <w:rFonts w:ascii="Calibri" w:hAnsi="Calibri"/>
                <w:noProof/>
                <w:lang w:val="en-CA"/>
              </w:rPr>
            </w:pPr>
            <w:r w:rsidRPr="003E1F72">
              <w:rPr>
                <w:rFonts w:ascii="Calibri" w:hAnsi="Calibri"/>
                <w:noProof/>
                <w:lang w:val="en-CA"/>
              </w:rPr>
              <w:t>UNDP: Report of performance of PAM produced, disseminate and issued for evidence base planning</w:t>
            </w:r>
          </w:p>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 xml:space="preserve">        </w:t>
            </w:r>
          </w:p>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UNDP will achieve its contribution through three sub - outputs:</w:t>
            </w:r>
          </w:p>
          <w:p w:rsidR="002E5339" w:rsidRPr="003E1F72" w:rsidRDefault="002E5339" w:rsidP="002E5339">
            <w:pPr>
              <w:pStyle w:val="ListParagraph"/>
              <w:numPr>
                <w:ilvl w:val="0"/>
                <w:numId w:val="9"/>
              </w:numPr>
              <w:tabs>
                <w:tab w:val="left" w:pos="720"/>
              </w:tabs>
              <w:ind w:left="720" w:right="181" w:hanging="270"/>
              <w:jc w:val="both"/>
              <w:rPr>
                <w:rFonts w:ascii="Calibri" w:hAnsi="Calibri"/>
                <w:noProof/>
                <w:lang w:val="en-CA"/>
              </w:rPr>
            </w:pPr>
            <w:r w:rsidRPr="003E1F72">
              <w:rPr>
                <w:rFonts w:ascii="Calibri" w:hAnsi="Calibri"/>
                <w:noProof/>
                <w:lang w:val="en-CA"/>
              </w:rPr>
              <w:t>Gap analysis report performed and disseminated between program team and PAM members.</w:t>
            </w:r>
          </w:p>
          <w:p w:rsidR="002E5339" w:rsidRPr="003E1F72" w:rsidRDefault="002E5339" w:rsidP="002E5339">
            <w:pPr>
              <w:pStyle w:val="ListParagraph"/>
              <w:numPr>
                <w:ilvl w:val="0"/>
                <w:numId w:val="9"/>
              </w:numPr>
              <w:tabs>
                <w:tab w:val="left" w:pos="720"/>
              </w:tabs>
              <w:ind w:left="720" w:right="181" w:hanging="270"/>
              <w:jc w:val="both"/>
              <w:rPr>
                <w:rFonts w:ascii="Calibri" w:hAnsi="Calibri"/>
                <w:noProof/>
                <w:lang w:val="en-CA"/>
              </w:rPr>
            </w:pPr>
            <w:r w:rsidRPr="003E1F72">
              <w:rPr>
                <w:rFonts w:ascii="Calibri" w:hAnsi="Calibri"/>
                <w:noProof/>
                <w:lang w:val="en-CA"/>
              </w:rPr>
              <w:t>Indicators established and monthly reports produced.</w:t>
            </w:r>
          </w:p>
          <w:p w:rsidR="002E5339" w:rsidRPr="003E1F72" w:rsidRDefault="002E5339" w:rsidP="002E5339">
            <w:pPr>
              <w:pStyle w:val="ListParagraph"/>
              <w:numPr>
                <w:ilvl w:val="0"/>
                <w:numId w:val="9"/>
              </w:numPr>
              <w:tabs>
                <w:tab w:val="left" w:pos="720"/>
              </w:tabs>
              <w:ind w:left="720" w:right="181" w:hanging="270"/>
              <w:jc w:val="both"/>
              <w:rPr>
                <w:rFonts w:ascii="Calibri" w:hAnsi="Calibri"/>
                <w:noProof/>
                <w:lang w:val="en-CA"/>
              </w:rPr>
            </w:pPr>
            <w:r w:rsidRPr="003E1F72">
              <w:rPr>
                <w:rFonts w:ascii="Calibri" w:hAnsi="Calibri"/>
                <w:noProof/>
                <w:lang w:val="en-CA"/>
              </w:rPr>
              <w:t>Tools for empowering PAM staff to issue reports and capacity building on reports issued.</w:t>
            </w:r>
          </w:p>
          <w:p w:rsidR="002E5339" w:rsidRPr="003E1F72" w:rsidRDefault="002E5339" w:rsidP="002E5339">
            <w:pPr>
              <w:tabs>
                <w:tab w:val="left" w:pos="450"/>
              </w:tabs>
              <w:ind w:left="600" w:right="181"/>
              <w:jc w:val="both"/>
              <w:rPr>
                <w:rFonts w:ascii="Calibri" w:hAnsi="Calibri"/>
                <w:noProof/>
                <w:lang w:val="en-CA"/>
              </w:rPr>
            </w:pPr>
          </w:p>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PAM also plans to improve the labor conditions and management system by analyzing the demographic imbalance, making sound decisions based on enhanced reporting mechanisims and upgrading its services quality for all economic and social actors. This programme aims to support PAM in its efforts to develop its internal capacity in reporting on its own performance, on labour movement, and its compliance with international labour standards.</w:t>
            </w:r>
          </w:p>
          <w:p w:rsidR="002E5339" w:rsidRPr="003E1F72" w:rsidRDefault="002E5339" w:rsidP="002E5339">
            <w:pPr>
              <w:tabs>
                <w:tab w:val="left" w:pos="450"/>
              </w:tabs>
              <w:ind w:right="181"/>
              <w:jc w:val="both"/>
              <w:rPr>
                <w:rFonts w:ascii="Calibri" w:hAnsi="Calibri"/>
                <w:noProof/>
                <w:lang w:val="en-CA"/>
              </w:rPr>
            </w:pPr>
          </w:p>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Within this context, UNDP is seeking to recruit a Labour Market Research Consultant to assist in the project implementation, in close collaboration with the project counterparts and other stakeholders. UNDP is keen on progressively elaborating on outputs and efforts from other projects and linking it to this joint programme including the Labour Management Information System championed by the Central Statistcs Bureau, and the efforts of the Manpower &amp; Governmnet Restructuring Programme.</w:t>
            </w:r>
          </w:p>
          <w:p w:rsidR="002E5339" w:rsidRPr="003E1F72" w:rsidRDefault="002E5339" w:rsidP="002E5339">
            <w:pPr>
              <w:tabs>
                <w:tab w:val="left" w:pos="450"/>
              </w:tabs>
              <w:ind w:right="181"/>
              <w:jc w:val="both"/>
              <w:rPr>
                <w:rFonts w:ascii="Calibri" w:hAnsi="Calibri"/>
                <w:noProof/>
                <w:lang w:val="en-CA"/>
              </w:rPr>
            </w:pPr>
          </w:p>
          <w:p w:rsidR="002E5339" w:rsidRPr="003E1F72" w:rsidRDefault="002E5339" w:rsidP="002E5339">
            <w:pPr>
              <w:tabs>
                <w:tab w:val="left" w:pos="450"/>
              </w:tabs>
              <w:ind w:right="181"/>
              <w:jc w:val="both"/>
              <w:rPr>
                <w:rFonts w:ascii="Calibri" w:hAnsi="Calibri"/>
                <w:noProof/>
                <w:lang w:val="en-CA"/>
              </w:rPr>
            </w:pPr>
            <w:r w:rsidRPr="003E1F72">
              <w:rPr>
                <w:rFonts w:ascii="Calibri" w:hAnsi="Calibri"/>
                <w:noProof/>
                <w:lang w:val="en-CA"/>
              </w:rPr>
              <w:t>The main purpose of the assignment is to provide advice on how to support the Labour Market Research Department, conduct relevant department and structure analysis and define methods and mechanisms for labour market reporting. The specific objectives are:</w:t>
            </w:r>
          </w:p>
          <w:p w:rsidR="002E5339" w:rsidRPr="003E1F72" w:rsidRDefault="002E5339" w:rsidP="002E5339">
            <w:pPr>
              <w:tabs>
                <w:tab w:val="left" w:pos="450"/>
              </w:tabs>
              <w:ind w:right="181"/>
              <w:jc w:val="both"/>
              <w:rPr>
                <w:rFonts w:ascii="Calibri" w:hAnsi="Calibri"/>
                <w:noProof/>
                <w:lang w:val="en-CA"/>
              </w:rPr>
            </w:pPr>
          </w:p>
          <w:p w:rsidR="002E5339" w:rsidRPr="003E1F72" w:rsidRDefault="002E5339" w:rsidP="002E5339">
            <w:pPr>
              <w:numPr>
                <w:ilvl w:val="0"/>
                <w:numId w:val="10"/>
              </w:numPr>
              <w:tabs>
                <w:tab w:val="left" w:pos="450"/>
              </w:tabs>
              <w:ind w:right="181"/>
              <w:jc w:val="both"/>
              <w:rPr>
                <w:rFonts w:ascii="Calibri" w:hAnsi="Calibri"/>
                <w:noProof/>
                <w:lang w:val="en-CA"/>
              </w:rPr>
            </w:pPr>
            <w:r w:rsidRPr="003E1F72">
              <w:rPr>
                <w:rFonts w:ascii="Calibri" w:hAnsi="Calibri"/>
                <w:noProof/>
                <w:lang w:val="en-CA"/>
              </w:rPr>
              <w:t>Identification of successful examples of reporting on labour market and its movement from different countries and drawing lessons on reforms using benchmarked best practices and labor market indicators.</w:t>
            </w:r>
          </w:p>
          <w:p w:rsidR="002E5339" w:rsidRPr="003E1F72" w:rsidRDefault="002E5339" w:rsidP="002E5339">
            <w:pPr>
              <w:numPr>
                <w:ilvl w:val="0"/>
                <w:numId w:val="10"/>
              </w:numPr>
              <w:tabs>
                <w:tab w:val="left" w:pos="450"/>
              </w:tabs>
              <w:ind w:right="181"/>
              <w:jc w:val="both"/>
              <w:rPr>
                <w:rFonts w:ascii="Calibri" w:hAnsi="Calibri"/>
                <w:noProof/>
                <w:lang w:val="en-CA"/>
              </w:rPr>
            </w:pPr>
            <w:r w:rsidRPr="003E1F72">
              <w:rPr>
                <w:rFonts w:ascii="Calibri" w:hAnsi="Calibri"/>
                <w:noProof/>
                <w:lang w:val="en-CA"/>
              </w:rPr>
              <w:t>Assessment of the current situation of reporting functionality at the Labour Market Research Department (Full System Audit) to identify barriers, and propose possible scenarios and recommendations</w:t>
            </w:r>
          </w:p>
          <w:p w:rsidR="0065710B" w:rsidRPr="003E1F72" w:rsidRDefault="002E5339" w:rsidP="003E1F72">
            <w:pPr>
              <w:numPr>
                <w:ilvl w:val="0"/>
                <w:numId w:val="10"/>
              </w:numPr>
              <w:tabs>
                <w:tab w:val="left" w:pos="450"/>
              </w:tabs>
              <w:ind w:right="181"/>
              <w:jc w:val="both"/>
              <w:rPr>
                <w:rFonts w:ascii="Calibri" w:hAnsi="Calibri"/>
                <w:noProof/>
                <w:lang w:val="en-CA"/>
              </w:rPr>
            </w:pPr>
            <w:r w:rsidRPr="003E1F72">
              <w:rPr>
                <w:rFonts w:ascii="Calibri" w:hAnsi="Calibri"/>
                <w:noProof/>
                <w:lang w:val="en-CA"/>
              </w:rPr>
              <w:t>Guidance to end users on decision-making based on reports, and interpretation of information.</w:t>
            </w:r>
          </w:p>
          <w:p w:rsidR="0065710B" w:rsidRPr="003E1F72" w:rsidRDefault="0065710B" w:rsidP="0065710B">
            <w:pPr>
              <w:tabs>
                <w:tab w:val="left" w:pos="1410"/>
              </w:tabs>
            </w:pPr>
          </w:p>
        </w:tc>
      </w:tr>
    </w:tbl>
    <w:p w:rsidR="00A24134" w:rsidRDefault="00A24134" w:rsidP="009E2B22">
      <w:pPr>
        <w:tabs>
          <w:tab w:val="left" w:pos="1410"/>
        </w:tabs>
        <w:rPr>
          <w:b/>
        </w:rPr>
      </w:pPr>
    </w:p>
    <w:p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Tr="0065710B">
        <w:tc>
          <w:tcPr>
            <w:tcW w:w="9576" w:type="dxa"/>
          </w:tcPr>
          <w:p w:rsidR="003E1F72" w:rsidRDefault="003E1F72" w:rsidP="002E5339">
            <w:pPr>
              <w:jc w:val="both"/>
              <w:rPr>
                <w:rFonts w:ascii="Calibri" w:hAnsi="Calibri"/>
                <w:color w:val="000000"/>
                <w:sz w:val="24"/>
                <w:lang w:eastAsia="en-GB"/>
              </w:rPr>
            </w:pPr>
          </w:p>
          <w:p w:rsidR="002E5339" w:rsidRPr="003E1F72" w:rsidRDefault="002E5339" w:rsidP="002E5339">
            <w:pPr>
              <w:jc w:val="both"/>
              <w:rPr>
                <w:rFonts w:ascii="Calibri" w:hAnsi="Calibri"/>
                <w:b/>
                <w:bCs/>
                <w:color w:val="000000"/>
                <w:lang w:eastAsia="en-GB"/>
              </w:rPr>
            </w:pPr>
            <w:r w:rsidRPr="003E1F72">
              <w:rPr>
                <w:rFonts w:ascii="Calibri" w:hAnsi="Calibri"/>
                <w:b/>
                <w:bCs/>
                <w:color w:val="000000"/>
                <w:lang w:eastAsia="en-GB"/>
              </w:rPr>
              <w:t>The main responsibilities and tasks of the specialist are as follows:</w:t>
            </w:r>
          </w:p>
          <w:p w:rsidR="003E1F72" w:rsidRPr="003E1F72" w:rsidRDefault="003E1F72" w:rsidP="002E5339">
            <w:pPr>
              <w:jc w:val="both"/>
              <w:rPr>
                <w:rFonts w:ascii="Calibri" w:hAnsi="Calibri"/>
                <w:b/>
                <w:bCs/>
                <w:color w:val="000000"/>
                <w:u w:val="single"/>
                <w:lang w:eastAsia="en-GB"/>
              </w:rPr>
            </w:pPr>
          </w:p>
          <w:p w:rsidR="002E5339" w:rsidRPr="003E1F72" w:rsidRDefault="002E5339" w:rsidP="002E5339">
            <w:pPr>
              <w:numPr>
                <w:ilvl w:val="0"/>
                <w:numId w:val="12"/>
              </w:numPr>
              <w:jc w:val="both"/>
              <w:rPr>
                <w:rFonts w:ascii="Calibri" w:hAnsi="Calibri"/>
                <w:color w:val="000000"/>
                <w:lang w:eastAsia="en-GB"/>
              </w:rPr>
            </w:pPr>
            <w:r w:rsidRPr="003E1F72">
              <w:rPr>
                <w:rFonts w:ascii="Calibri" w:hAnsi="Calibri"/>
                <w:b/>
                <w:color w:val="000000"/>
                <w:lang w:eastAsia="en-GB"/>
              </w:rPr>
              <w:t>Best Practices:</w:t>
            </w:r>
            <w:r w:rsidRPr="003E1F72">
              <w:rPr>
                <w:rFonts w:ascii="Calibri" w:hAnsi="Calibri"/>
                <w:color w:val="000000"/>
                <w:lang w:eastAsia="en-GB"/>
              </w:rPr>
              <w:t xml:space="preserve"> To identify successful examples of labour market research and reporting from different countries and drawing lessons on policy reform to support Labour Market Research Department.</w:t>
            </w:r>
          </w:p>
          <w:p w:rsidR="002E5339" w:rsidRPr="003E1F72" w:rsidRDefault="002E5339" w:rsidP="002E5339">
            <w:pPr>
              <w:ind w:left="720"/>
              <w:jc w:val="both"/>
              <w:rPr>
                <w:rFonts w:ascii="Calibri" w:hAnsi="Calibri"/>
                <w:color w:val="000000"/>
                <w:lang w:eastAsia="en-GB"/>
              </w:rPr>
            </w:pPr>
          </w:p>
          <w:p w:rsidR="002E5339" w:rsidRPr="003E1F72" w:rsidRDefault="002E5339" w:rsidP="002E5339">
            <w:pPr>
              <w:numPr>
                <w:ilvl w:val="1"/>
                <w:numId w:val="12"/>
              </w:numPr>
              <w:ind w:left="1260"/>
              <w:jc w:val="both"/>
              <w:rPr>
                <w:rFonts w:ascii="Calibri" w:hAnsi="Calibri"/>
                <w:color w:val="000000"/>
                <w:lang w:eastAsia="en-GB"/>
              </w:rPr>
            </w:pPr>
            <w:r w:rsidRPr="003E1F72">
              <w:rPr>
                <w:rFonts w:ascii="Calibri" w:hAnsi="Calibri"/>
                <w:color w:val="000000"/>
                <w:lang w:eastAsia="en-GB"/>
              </w:rPr>
              <w:t>Keep abreast and research experiences of GCC countries and countries with a comparative context in relation to labour market research.</w:t>
            </w:r>
          </w:p>
          <w:p w:rsidR="002E5339" w:rsidRPr="003E1F72" w:rsidRDefault="002E5339" w:rsidP="002E5339">
            <w:pPr>
              <w:numPr>
                <w:ilvl w:val="1"/>
                <w:numId w:val="12"/>
              </w:numPr>
              <w:ind w:left="1260"/>
              <w:jc w:val="both"/>
              <w:rPr>
                <w:rFonts w:ascii="Calibri" w:hAnsi="Calibri"/>
                <w:color w:val="000000"/>
                <w:lang w:eastAsia="en-GB"/>
              </w:rPr>
            </w:pPr>
            <w:r w:rsidRPr="003E1F72">
              <w:rPr>
                <w:rFonts w:ascii="Calibri" w:hAnsi="Calibri"/>
                <w:color w:val="000000"/>
                <w:lang w:eastAsia="en-GB"/>
              </w:rPr>
              <w:t xml:space="preserve"> Collect, collate and review relevant documentation. </w:t>
            </w:r>
          </w:p>
          <w:p w:rsidR="002E5339" w:rsidRPr="003E1F72" w:rsidRDefault="002E5339" w:rsidP="002E5339">
            <w:pPr>
              <w:numPr>
                <w:ilvl w:val="1"/>
                <w:numId w:val="12"/>
              </w:numPr>
              <w:ind w:left="1260"/>
              <w:jc w:val="both"/>
              <w:rPr>
                <w:rFonts w:ascii="Calibri" w:hAnsi="Calibri"/>
                <w:color w:val="000000"/>
                <w:lang w:eastAsia="en-GB"/>
              </w:rPr>
            </w:pPr>
            <w:r w:rsidRPr="003E1F72">
              <w:rPr>
                <w:rFonts w:ascii="Calibri" w:hAnsi="Calibri"/>
                <w:color w:val="000000"/>
                <w:lang w:eastAsia="en-GB"/>
              </w:rPr>
              <w:t>Analyze and evaluate the experiences, identify and document lessons and successful examples.</w:t>
            </w:r>
          </w:p>
          <w:p w:rsidR="002E5339" w:rsidRPr="003E1F72" w:rsidRDefault="002E5339" w:rsidP="002E5339">
            <w:pPr>
              <w:numPr>
                <w:ilvl w:val="1"/>
                <w:numId w:val="12"/>
              </w:numPr>
              <w:ind w:left="1260"/>
              <w:jc w:val="both"/>
              <w:rPr>
                <w:rFonts w:ascii="Calibri" w:hAnsi="Calibri"/>
                <w:color w:val="000000"/>
                <w:lang w:eastAsia="en-GB"/>
              </w:rPr>
            </w:pPr>
            <w:r w:rsidRPr="003E1F72">
              <w:rPr>
                <w:rFonts w:ascii="Calibri" w:hAnsi="Calibri"/>
                <w:color w:val="000000"/>
                <w:lang w:eastAsia="en-GB"/>
              </w:rPr>
              <w:t>Identify policies, strategies and methods that can be utilized/adapted to the Kuwaiti context and propose general recommendations and directions to develop the Labour Market Research based on those.</w:t>
            </w:r>
          </w:p>
          <w:p w:rsidR="002E5339" w:rsidRPr="003E1F72" w:rsidRDefault="002E5339" w:rsidP="002E5339">
            <w:pPr>
              <w:ind w:left="720"/>
              <w:jc w:val="both"/>
              <w:rPr>
                <w:rFonts w:ascii="Calibri" w:hAnsi="Calibri"/>
                <w:color w:val="000000"/>
                <w:lang w:eastAsia="en-GB"/>
              </w:rPr>
            </w:pPr>
          </w:p>
          <w:p w:rsidR="002E5339" w:rsidRPr="003E1F72" w:rsidRDefault="002E5339" w:rsidP="002E5339">
            <w:pPr>
              <w:numPr>
                <w:ilvl w:val="0"/>
                <w:numId w:val="12"/>
              </w:numPr>
              <w:jc w:val="both"/>
              <w:rPr>
                <w:rFonts w:ascii="Calibri" w:hAnsi="Calibri"/>
                <w:color w:val="000000"/>
                <w:lang w:eastAsia="en-GB"/>
              </w:rPr>
            </w:pPr>
            <w:r w:rsidRPr="003E1F72">
              <w:rPr>
                <w:rFonts w:ascii="Calibri" w:hAnsi="Calibri"/>
                <w:b/>
                <w:color w:val="000000"/>
                <w:lang w:eastAsia="en-GB"/>
              </w:rPr>
              <w:t>Labour market reporting:</w:t>
            </w:r>
            <w:r w:rsidRPr="003E1F72">
              <w:rPr>
                <w:rFonts w:ascii="Calibri" w:hAnsi="Calibri"/>
                <w:color w:val="000000"/>
                <w:lang w:eastAsia="en-GB"/>
              </w:rPr>
              <w:t xml:space="preserve"> To conduct a realistic assessment and a full system audit of the current situation of reports issued on labour market to identify barriers and opportunities and provide solutions, suggestions and recommendations.</w:t>
            </w:r>
          </w:p>
          <w:p w:rsidR="002E5339" w:rsidRPr="003E1F72" w:rsidRDefault="002E5339" w:rsidP="002E5339">
            <w:pPr>
              <w:jc w:val="both"/>
              <w:rPr>
                <w:rFonts w:ascii="Calibri" w:hAnsi="Calibri"/>
                <w:color w:val="000000"/>
                <w:lang w:eastAsia="en-GB"/>
              </w:rPr>
            </w:pPr>
          </w:p>
          <w:p w:rsidR="002E5339" w:rsidRPr="003E1F72" w:rsidRDefault="002E5339" w:rsidP="002E5339">
            <w:pPr>
              <w:numPr>
                <w:ilvl w:val="1"/>
                <w:numId w:val="12"/>
              </w:numPr>
              <w:ind w:left="1440"/>
              <w:jc w:val="both"/>
              <w:rPr>
                <w:rFonts w:ascii="Calibri" w:hAnsi="Calibri"/>
                <w:color w:val="000000"/>
                <w:lang w:eastAsia="en-GB"/>
              </w:rPr>
            </w:pPr>
            <w:r w:rsidRPr="003E1F72">
              <w:rPr>
                <w:rFonts w:ascii="Calibri" w:hAnsi="Calibri"/>
                <w:color w:val="000000"/>
                <w:lang w:eastAsia="en-GB"/>
              </w:rPr>
              <w:t>Articulate the current conditions of the relevant labor market reporting and research processes within PAM.</w:t>
            </w:r>
          </w:p>
          <w:p w:rsidR="002E5339" w:rsidRPr="003E1F72" w:rsidRDefault="002E5339" w:rsidP="002E5339">
            <w:pPr>
              <w:numPr>
                <w:ilvl w:val="1"/>
                <w:numId w:val="12"/>
              </w:numPr>
              <w:ind w:left="1440"/>
              <w:jc w:val="both"/>
              <w:rPr>
                <w:rFonts w:ascii="Calibri" w:hAnsi="Calibri"/>
                <w:color w:val="000000"/>
                <w:lang w:eastAsia="en-GB"/>
              </w:rPr>
            </w:pPr>
            <w:r w:rsidRPr="003E1F72">
              <w:rPr>
                <w:rFonts w:ascii="Calibri" w:hAnsi="Calibri"/>
                <w:color w:val="000000"/>
                <w:lang w:eastAsia="en-GB"/>
              </w:rPr>
              <w:t>Evaluate the capability of the statistical packages and reporting automation in close coordination with the Central Statistics Bureau, and the Joint Technical Committee of Job and Economic Sectors Classification.</w:t>
            </w:r>
          </w:p>
          <w:p w:rsidR="002E5339" w:rsidRPr="003E1F72" w:rsidRDefault="002E5339" w:rsidP="002E5339">
            <w:pPr>
              <w:numPr>
                <w:ilvl w:val="1"/>
                <w:numId w:val="12"/>
              </w:numPr>
              <w:ind w:left="1440"/>
              <w:jc w:val="both"/>
              <w:rPr>
                <w:rFonts w:ascii="Calibri" w:hAnsi="Calibri"/>
                <w:color w:val="000000"/>
                <w:lang w:eastAsia="en-GB"/>
              </w:rPr>
            </w:pPr>
            <w:r w:rsidRPr="003E1F72">
              <w:rPr>
                <w:rFonts w:ascii="Calibri" w:hAnsi="Calibri"/>
                <w:color w:val="000000"/>
                <w:lang w:eastAsia="en-GB"/>
              </w:rPr>
              <w:t>Identify the risks that may hinder the achievement of the assignment.</w:t>
            </w:r>
          </w:p>
          <w:p w:rsidR="002E5339" w:rsidRPr="003E1F72" w:rsidRDefault="002E5339" w:rsidP="002E5339">
            <w:pPr>
              <w:numPr>
                <w:ilvl w:val="1"/>
                <w:numId w:val="12"/>
              </w:numPr>
              <w:ind w:left="1440"/>
              <w:jc w:val="both"/>
              <w:rPr>
                <w:rFonts w:ascii="Calibri" w:hAnsi="Calibri"/>
                <w:color w:val="000000"/>
                <w:lang w:eastAsia="en-GB"/>
              </w:rPr>
            </w:pPr>
            <w:r w:rsidRPr="003E1F72">
              <w:rPr>
                <w:rFonts w:ascii="Calibri" w:hAnsi="Calibri"/>
                <w:color w:val="000000"/>
                <w:lang w:eastAsia="en-GB"/>
              </w:rPr>
              <w:t>Identify possible “Change Agents” who will be vital members in the implementation teams.</w:t>
            </w:r>
          </w:p>
          <w:p w:rsidR="002E5339" w:rsidRPr="003E1F72" w:rsidRDefault="002E5339" w:rsidP="002E5339">
            <w:pPr>
              <w:jc w:val="both"/>
              <w:rPr>
                <w:rFonts w:ascii="Calibri" w:hAnsi="Calibri"/>
                <w:color w:val="000000"/>
                <w:lang w:eastAsia="en-GB"/>
              </w:rPr>
            </w:pPr>
          </w:p>
          <w:p w:rsidR="002E5339" w:rsidRPr="003E1F72" w:rsidRDefault="002E5339" w:rsidP="002E5339">
            <w:pPr>
              <w:numPr>
                <w:ilvl w:val="0"/>
                <w:numId w:val="12"/>
              </w:numPr>
              <w:jc w:val="both"/>
              <w:rPr>
                <w:rFonts w:ascii="Calibri" w:hAnsi="Calibri"/>
                <w:color w:val="000000"/>
                <w:lang w:eastAsia="en-GB"/>
              </w:rPr>
            </w:pPr>
            <w:r w:rsidRPr="003E1F72">
              <w:rPr>
                <w:rFonts w:ascii="Calibri" w:hAnsi="Calibri"/>
                <w:b/>
                <w:color w:val="000000"/>
                <w:lang w:eastAsia="en-GB"/>
              </w:rPr>
              <w:t>Guidance to issuers and users of the reports:</w:t>
            </w:r>
            <w:r w:rsidRPr="003E1F72">
              <w:rPr>
                <w:rFonts w:ascii="Calibri" w:hAnsi="Calibri"/>
                <w:color w:val="000000"/>
                <w:lang w:eastAsia="en-GB"/>
              </w:rPr>
              <w:t xml:space="preserve"> To guide the issuers and users of the reports and support them to define their needs, take decisions based on reports.</w:t>
            </w:r>
          </w:p>
          <w:p w:rsidR="002E5339" w:rsidRPr="003E1F72" w:rsidRDefault="002E5339" w:rsidP="002E5339">
            <w:pPr>
              <w:tabs>
                <w:tab w:val="left" w:pos="1530"/>
              </w:tabs>
              <w:ind w:left="1530" w:hanging="450"/>
              <w:jc w:val="both"/>
              <w:rPr>
                <w:rFonts w:ascii="Calibri" w:hAnsi="Calibri"/>
                <w:color w:val="000000"/>
                <w:lang w:eastAsia="en-GB"/>
              </w:rPr>
            </w:pPr>
          </w:p>
          <w:p w:rsidR="002E5339" w:rsidRPr="003E1F72" w:rsidRDefault="002E5339" w:rsidP="002E5339">
            <w:pPr>
              <w:numPr>
                <w:ilvl w:val="0"/>
                <w:numId w:val="13"/>
              </w:numPr>
              <w:tabs>
                <w:tab w:val="left" w:pos="1530"/>
              </w:tabs>
              <w:ind w:left="1530" w:hanging="450"/>
              <w:jc w:val="both"/>
              <w:rPr>
                <w:rFonts w:ascii="Calibri" w:hAnsi="Calibri"/>
                <w:color w:val="000000"/>
                <w:lang w:eastAsia="en-GB"/>
              </w:rPr>
            </w:pPr>
            <w:r w:rsidRPr="003E1F72">
              <w:rPr>
                <w:rFonts w:ascii="Calibri" w:hAnsi="Calibri"/>
                <w:color w:val="000000"/>
                <w:lang w:eastAsia="en-GB"/>
              </w:rPr>
              <w:t>Conduct labour market reporting periodically as requested and provide advice / interpretations for data users when requested</w:t>
            </w:r>
          </w:p>
          <w:p w:rsidR="002E5339" w:rsidRPr="003E1F72" w:rsidRDefault="002E5339" w:rsidP="002E5339">
            <w:pPr>
              <w:numPr>
                <w:ilvl w:val="0"/>
                <w:numId w:val="13"/>
              </w:numPr>
              <w:tabs>
                <w:tab w:val="left" w:pos="1530"/>
              </w:tabs>
              <w:ind w:left="1530" w:hanging="450"/>
              <w:jc w:val="both"/>
              <w:rPr>
                <w:rFonts w:ascii="Calibri" w:hAnsi="Calibri"/>
                <w:color w:val="000000"/>
                <w:lang w:eastAsia="en-GB"/>
              </w:rPr>
            </w:pPr>
            <w:r w:rsidRPr="003E1F72">
              <w:rPr>
                <w:rFonts w:ascii="Calibri" w:hAnsi="Calibri"/>
                <w:color w:val="000000"/>
                <w:lang w:eastAsia="en-GB"/>
              </w:rPr>
              <w:t>Facilitate technical support to provide report issuers and users with needed information and classification of jobs and economic sectors.</w:t>
            </w:r>
          </w:p>
          <w:p w:rsidR="002E5339" w:rsidRPr="003E1F72" w:rsidRDefault="002E5339" w:rsidP="002E5339">
            <w:pPr>
              <w:numPr>
                <w:ilvl w:val="0"/>
                <w:numId w:val="13"/>
              </w:numPr>
              <w:tabs>
                <w:tab w:val="left" w:pos="1530"/>
              </w:tabs>
              <w:ind w:left="1530" w:hanging="450"/>
              <w:jc w:val="both"/>
              <w:rPr>
                <w:rFonts w:ascii="Calibri" w:hAnsi="Calibri"/>
                <w:color w:val="000000"/>
                <w:lang w:eastAsia="en-GB"/>
              </w:rPr>
            </w:pPr>
            <w:r w:rsidRPr="003E1F72">
              <w:rPr>
                <w:rFonts w:ascii="Calibri" w:hAnsi="Calibri"/>
                <w:color w:val="000000"/>
                <w:lang w:eastAsia="en-GB"/>
              </w:rPr>
              <w:t xml:space="preserve">Develop internal and external reporting channels, and provide the needed coordination and supervision for those. </w:t>
            </w:r>
          </w:p>
          <w:p w:rsidR="002E5339" w:rsidRPr="003E1F72" w:rsidRDefault="002E5339" w:rsidP="002E5339">
            <w:pPr>
              <w:jc w:val="both"/>
              <w:rPr>
                <w:rFonts w:ascii="Calibri" w:hAnsi="Calibri"/>
                <w:color w:val="000000"/>
                <w:lang w:eastAsia="en-GB"/>
              </w:rPr>
            </w:pPr>
          </w:p>
          <w:p w:rsidR="002E5339" w:rsidRPr="003E1F72" w:rsidRDefault="002E5339" w:rsidP="002E5339">
            <w:pPr>
              <w:pStyle w:val="Style1"/>
              <w:numPr>
                <w:ilvl w:val="0"/>
                <w:numId w:val="0"/>
              </w:numPr>
              <w:ind w:left="644" w:hanging="360"/>
              <w:rPr>
                <w:rFonts w:cs="Times New Roman"/>
                <w:b w:val="0"/>
                <w:bCs w:val="0"/>
                <w:color w:val="000000"/>
                <w:sz w:val="22"/>
                <w:szCs w:val="22"/>
                <w:lang w:eastAsia="en-GB"/>
              </w:rPr>
            </w:pPr>
            <w:r w:rsidRPr="003E1F72">
              <w:rPr>
                <w:rFonts w:cs="Times New Roman"/>
                <w:b w:val="0"/>
                <w:bCs w:val="0"/>
                <w:color w:val="000000"/>
                <w:sz w:val="22"/>
                <w:szCs w:val="22"/>
                <w:lang w:eastAsia="en-GB"/>
              </w:rPr>
              <w:t xml:space="preserve">4.   </w:t>
            </w:r>
            <w:r w:rsidRPr="003E1F72">
              <w:rPr>
                <w:rFonts w:cs="Times New Roman"/>
                <w:bCs w:val="0"/>
                <w:color w:val="000000"/>
                <w:sz w:val="22"/>
                <w:szCs w:val="22"/>
                <w:lang w:eastAsia="en-GB"/>
              </w:rPr>
              <w:t>Training and Knowledge transfer</w:t>
            </w:r>
          </w:p>
          <w:p w:rsidR="002E5339" w:rsidRPr="003E1F72" w:rsidRDefault="002E5339" w:rsidP="002E5339">
            <w:pPr>
              <w:numPr>
                <w:ilvl w:val="1"/>
                <w:numId w:val="14"/>
              </w:numPr>
              <w:jc w:val="both"/>
              <w:rPr>
                <w:rFonts w:ascii="Calibri" w:hAnsi="Calibri"/>
                <w:color w:val="000000"/>
                <w:lang w:eastAsia="en-GB"/>
              </w:rPr>
            </w:pPr>
            <w:r w:rsidRPr="003E1F72">
              <w:rPr>
                <w:rFonts w:ascii="Calibri" w:hAnsi="Calibri"/>
                <w:color w:val="000000"/>
                <w:lang w:eastAsia="en-GB"/>
              </w:rPr>
              <w:t>Build capacity of staff at the Labour Market Research Department on issuing reports.</w:t>
            </w:r>
          </w:p>
          <w:p w:rsidR="002E5339" w:rsidRPr="003E1F72" w:rsidRDefault="002E5339" w:rsidP="002E5339">
            <w:pPr>
              <w:numPr>
                <w:ilvl w:val="1"/>
                <w:numId w:val="14"/>
              </w:numPr>
              <w:jc w:val="both"/>
              <w:rPr>
                <w:rFonts w:ascii="Calibri" w:hAnsi="Calibri"/>
                <w:color w:val="000000"/>
                <w:lang w:eastAsia="en-GB"/>
              </w:rPr>
            </w:pPr>
            <w:r w:rsidRPr="003E1F72">
              <w:rPr>
                <w:rFonts w:ascii="Calibri" w:hAnsi="Calibri"/>
                <w:color w:val="000000"/>
                <w:lang w:eastAsia="en-GB"/>
              </w:rPr>
              <w:t>Conduct training workshop sessions as required.</w:t>
            </w:r>
          </w:p>
          <w:p w:rsidR="002E5339" w:rsidRPr="003E1F72" w:rsidRDefault="002E5339" w:rsidP="00CE6CD8">
            <w:pPr>
              <w:jc w:val="both"/>
              <w:rPr>
                <w:rFonts w:ascii="Calibri" w:hAnsi="Calibri"/>
                <w:lang w:val="en-GB"/>
              </w:rPr>
            </w:pPr>
          </w:p>
          <w:p w:rsidR="002E5339" w:rsidRPr="003E1F72" w:rsidRDefault="002E5339" w:rsidP="002E5339">
            <w:pPr>
              <w:jc w:val="both"/>
              <w:rPr>
                <w:rFonts w:ascii="Calibri" w:hAnsi="Calibri"/>
                <w:b/>
                <w:bCs/>
                <w:lang w:val="en-GB"/>
              </w:rPr>
            </w:pPr>
            <w:r w:rsidRPr="003E1F72">
              <w:rPr>
                <w:rFonts w:ascii="Calibri" w:hAnsi="Calibri"/>
                <w:b/>
                <w:bCs/>
                <w:lang w:val="en-GB"/>
              </w:rPr>
              <w:t>Indicative Approaches and Methodologies:</w:t>
            </w:r>
          </w:p>
          <w:p w:rsidR="002E5339" w:rsidRPr="003E1F72" w:rsidRDefault="002E5339" w:rsidP="002E5339">
            <w:pPr>
              <w:jc w:val="both"/>
              <w:rPr>
                <w:rFonts w:ascii="Calibri" w:hAnsi="Calibri"/>
                <w:lang w:val="en-GB"/>
              </w:rPr>
            </w:pPr>
          </w:p>
          <w:p w:rsidR="002E5339" w:rsidRPr="003E1F72" w:rsidRDefault="002E5339" w:rsidP="002E5339">
            <w:pPr>
              <w:jc w:val="both"/>
              <w:rPr>
                <w:rFonts w:ascii="Calibri" w:hAnsi="Calibri"/>
                <w:lang w:val="en-GB"/>
              </w:rPr>
            </w:pPr>
            <w:r w:rsidRPr="003E1F72">
              <w:rPr>
                <w:rFonts w:ascii="Calibri" w:hAnsi="Calibri"/>
                <w:lang w:val="en-GB"/>
              </w:rPr>
              <w:t xml:space="preserve">A key approach in this assignment is to develop national capacities through facilitating learning from other countries’ experiences, training, knowledge and skills transfer to the staff of </w:t>
            </w:r>
            <w:r w:rsidRPr="003E1F72">
              <w:rPr>
                <w:rFonts w:ascii="Calibri" w:hAnsi="Calibri"/>
                <w:color w:val="000000"/>
                <w:lang w:eastAsia="en-GB"/>
              </w:rPr>
              <w:t xml:space="preserve">the Labour Market Research Department </w:t>
            </w:r>
            <w:r w:rsidRPr="003E1F72">
              <w:rPr>
                <w:rFonts w:ascii="Calibri" w:hAnsi="Calibri"/>
                <w:lang w:val="en-GB"/>
              </w:rPr>
              <w:t xml:space="preserve">and other methods that the specialist would determine to ensure his/her skills and experience is transferred to the department staff. The specialist would thus be required to submit a capacity development/expertise and knowledge transfer plan based on an understanding of the needs of the Department. </w:t>
            </w:r>
          </w:p>
          <w:p w:rsidR="002E5339" w:rsidRPr="003E1F72" w:rsidRDefault="002E5339" w:rsidP="002E5339">
            <w:pPr>
              <w:jc w:val="both"/>
              <w:rPr>
                <w:rFonts w:ascii="Calibri" w:hAnsi="Calibri"/>
                <w:lang w:val="en-GB"/>
              </w:rPr>
            </w:pPr>
          </w:p>
          <w:p w:rsidR="0065710B" w:rsidRDefault="002E5339" w:rsidP="002E5339">
            <w:pPr>
              <w:rPr>
                <w:rFonts w:ascii="Calibri" w:hAnsi="Calibri"/>
                <w:lang w:val="en-GB"/>
              </w:rPr>
            </w:pPr>
            <w:r w:rsidRPr="003E1F72">
              <w:rPr>
                <w:rFonts w:ascii="Calibri" w:hAnsi="Calibri"/>
                <w:lang w:val="en-GB"/>
              </w:rPr>
              <w:t>The specialist is expected to include a gender approach in all the work requirements and ensure gender sensitivity of all the deliverables which would be based on a gender analysis to ensure that the needs and specific considerations related to men and women is taken into account.</w:t>
            </w:r>
          </w:p>
          <w:p w:rsidR="00C626B5" w:rsidRDefault="00C626B5" w:rsidP="002E5339">
            <w:pPr>
              <w:rPr>
                <w:rFonts w:ascii="Calibri" w:hAnsi="Calibri"/>
                <w:lang w:val="en-GB"/>
              </w:rPr>
            </w:pPr>
          </w:p>
          <w:p w:rsidR="00C626B5" w:rsidRPr="00CA6B65" w:rsidRDefault="00C626B5" w:rsidP="002E5339">
            <w:pPr>
              <w:rPr>
                <w:rFonts w:ascii="Calibri" w:hAnsi="Calibri"/>
                <w:b/>
                <w:bCs/>
                <w:lang w:val="en-GB"/>
              </w:rPr>
            </w:pPr>
            <w:r w:rsidRPr="00CA6B65">
              <w:rPr>
                <w:rFonts w:ascii="Calibri" w:hAnsi="Calibri"/>
                <w:b/>
                <w:bCs/>
                <w:lang w:val="en-GB"/>
              </w:rPr>
              <w:t>Working Time and Place:</w:t>
            </w:r>
          </w:p>
          <w:p w:rsidR="00C626B5" w:rsidRDefault="00C626B5" w:rsidP="002E5339">
            <w:pPr>
              <w:rPr>
                <w:rFonts w:ascii="Calibri" w:hAnsi="Calibri"/>
                <w:lang w:val="en-GB"/>
              </w:rPr>
            </w:pPr>
          </w:p>
          <w:p w:rsidR="00C626B5" w:rsidRDefault="00C626B5" w:rsidP="002E5339">
            <w:pPr>
              <w:rPr>
                <w:rFonts w:ascii="Calibri" w:hAnsi="Calibri"/>
                <w:lang w:val="en-GB"/>
              </w:rPr>
            </w:pPr>
            <w:r>
              <w:rPr>
                <w:rFonts w:ascii="Calibri" w:hAnsi="Calibri"/>
                <w:lang w:val="en-GB"/>
              </w:rPr>
              <w:t>Kuwait, Jabriya, the Public Authority of Manpower.</w:t>
            </w:r>
          </w:p>
          <w:p w:rsidR="00C626B5" w:rsidRDefault="00C626B5" w:rsidP="002E5339">
            <w:pPr>
              <w:rPr>
                <w:rFonts w:ascii="Calibri" w:hAnsi="Calibri"/>
                <w:lang w:val="en-GB"/>
              </w:rPr>
            </w:pPr>
            <w:r>
              <w:rPr>
                <w:rFonts w:ascii="Calibri" w:hAnsi="Calibri"/>
                <w:lang w:val="en-GB"/>
              </w:rPr>
              <w:t>Working Time: Full time five days a week from 8:00 – 2:00.</w:t>
            </w:r>
          </w:p>
          <w:p w:rsidR="00C626B5" w:rsidRPr="0065710B" w:rsidRDefault="00C626B5" w:rsidP="002E5339"/>
        </w:tc>
      </w:tr>
    </w:tbl>
    <w:p w:rsidR="00DA646F" w:rsidRDefault="00DA646F" w:rsidP="00A24134">
      <w:pPr>
        <w:rPr>
          <w:b/>
        </w:rPr>
      </w:pPr>
    </w:p>
    <w:p w:rsidR="00DA646F" w:rsidRDefault="00DA646F" w:rsidP="00A24134">
      <w:pPr>
        <w:rPr>
          <w:b/>
        </w:rPr>
      </w:pPr>
    </w:p>
    <w:p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CE6CD8" w:rsidTr="00443E94">
        <w:tc>
          <w:tcPr>
            <w:tcW w:w="9576" w:type="dxa"/>
          </w:tcPr>
          <w:p w:rsidR="00CE6CD8" w:rsidRDefault="00CE6CD8" w:rsidP="00CE6CD8">
            <w:pPr>
              <w:pStyle w:val="CommentText"/>
              <w:rPr>
                <w:rFonts w:cs="Arial"/>
                <w:color w:val="333333"/>
              </w:rPr>
            </w:pPr>
          </w:p>
          <w:p w:rsidR="00CE6CD8" w:rsidRDefault="00CE6CD8" w:rsidP="00CE6CD8">
            <w:pPr>
              <w:pStyle w:val="CommentText"/>
              <w:rPr>
                <w:b/>
                <w:bCs/>
                <w:color w:val="000000"/>
                <w:sz w:val="22"/>
                <w:szCs w:val="22"/>
                <w:lang w:eastAsia="en-GB"/>
              </w:rPr>
            </w:pPr>
            <w:r w:rsidRPr="003E1F72">
              <w:rPr>
                <w:b/>
                <w:bCs/>
                <w:sz w:val="22"/>
                <w:szCs w:val="22"/>
              </w:rPr>
              <w:t>Education:</w:t>
            </w:r>
            <w:r w:rsidRPr="003E1F72">
              <w:rPr>
                <w:b/>
                <w:bCs/>
                <w:color w:val="000000"/>
                <w:sz w:val="22"/>
                <w:szCs w:val="22"/>
                <w:lang w:eastAsia="en-GB"/>
              </w:rPr>
              <w:t xml:space="preserve"> </w:t>
            </w:r>
          </w:p>
          <w:p w:rsidR="003E1F72" w:rsidRPr="003E1F72" w:rsidRDefault="003E1F72" w:rsidP="00CE6CD8">
            <w:pPr>
              <w:pStyle w:val="CommentText"/>
              <w:rPr>
                <w:b/>
                <w:bCs/>
                <w:color w:val="000000"/>
                <w:sz w:val="22"/>
                <w:szCs w:val="22"/>
                <w:lang w:eastAsia="en-GB"/>
              </w:rPr>
            </w:pPr>
          </w:p>
          <w:p w:rsidR="00CE6CD8" w:rsidRPr="003E1F72" w:rsidRDefault="003E1F72" w:rsidP="00CE6CD8">
            <w:pPr>
              <w:pStyle w:val="CommentText"/>
              <w:numPr>
                <w:ilvl w:val="0"/>
                <w:numId w:val="17"/>
              </w:numPr>
              <w:rPr>
                <w:color w:val="000000"/>
                <w:sz w:val="22"/>
                <w:szCs w:val="22"/>
                <w:lang w:eastAsia="en-GB"/>
              </w:rPr>
            </w:pPr>
            <w:r>
              <w:rPr>
                <w:color w:val="000000"/>
                <w:sz w:val="22"/>
                <w:szCs w:val="22"/>
                <w:lang w:eastAsia="en-GB"/>
              </w:rPr>
              <w:t xml:space="preserve">Minimum of a bachelor degree </w:t>
            </w:r>
            <w:r w:rsidR="00CE6CD8" w:rsidRPr="003E1F72">
              <w:rPr>
                <w:color w:val="000000"/>
                <w:sz w:val="22"/>
                <w:szCs w:val="22"/>
                <w:lang w:eastAsia="en-GB"/>
              </w:rPr>
              <w:t>in a related filed (economics, statistics...etc.) with specializations in labour market research.</w:t>
            </w:r>
          </w:p>
          <w:p w:rsidR="00CE6CD8" w:rsidRPr="003E1F72" w:rsidRDefault="00CE6CD8" w:rsidP="00CE6CD8">
            <w:pPr>
              <w:pStyle w:val="CommentText"/>
              <w:rPr>
                <w:color w:val="000000"/>
                <w:sz w:val="22"/>
                <w:szCs w:val="22"/>
                <w:lang w:eastAsia="en-GB"/>
              </w:rPr>
            </w:pPr>
          </w:p>
          <w:p w:rsidR="00CE6CD8" w:rsidRPr="003E1F72" w:rsidRDefault="00CE6CD8" w:rsidP="00CE6CD8">
            <w:pPr>
              <w:rPr>
                <w:b/>
                <w:bCs/>
              </w:rPr>
            </w:pPr>
            <w:r w:rsidRPr="003E1F72">
              <w:rPr>
                <w:b/>
                <w:bCs/>
              </w:rPr>
              <w:t xml:space="preserve">Experience: </w:t>
            </w:r>
          </w:p>
          <w:p w:rsidR="00CE6CD8" w:rsidRPr="003E1F72" w:rsidRDefault="00C626B5" w:rsidP="00CE6CD8">
            <w:pPr>
              <w:numPr>
                <w:ilvl w:val="0"/>
                <w:numId w:val="16"/>
              </w:numPr>
              <w:spacing w:before="100" w:beforeAutospacing="1" w:after="100" w:afterAutospacing="1"/>
            </w:pPr>
            <w:r>
              <w:t>Minimum of 10</w:t>
            </w:r>
            <w:r w:rsidR="00CE6CD8" w:rsidRPr="003E1F72">
              <w:t xml:space="preserve"> years with proven expertise on advising on the management of such unit / structure and reporting on labour market.</w:t>
            </w:r>
          </w:p>
          <w:p w:rsidR="00CE6CD8" w:rsidRPr="003E1F72" w:rsidRDefault="00CE6CD8" w:rsidP="00CE6CD8">
            <w:pPr>
              <w:numPr>
                <w:ilvl w:val="0"/>
                <w:numId w:val="16"/>
              </w:numPr>
              <w:spacing w:before="100" w:beforeAutospacing="1" w:after="100" w:afterAutospacing="1"/>
            </w:pPr>
            <w:r w:rsidRPr="003E1F72">
              <w:rPr>
                <w:color w:val="000000"/>
                <w:lang w:eastAsia="en-GB"/>
              </w:rPr>
              <w:t xml:space="preserve">Strong knowledge of processes and tools associated with labour market research mechanisms and reporting. </w:t>
            </w:r>
          </w:p>
          <w:p w:rsidR="00CE6CD8" w:rsidRPr="003E1F72" w:rsidRDefault="00CE6CD8" w:rsidP="00CE6CD8">
            <w:pPr>
              <w:numPr>
                <w:ilvl w:val="0"/>
                <w:numId w:val="16"/>
              </w:numPr>
            </w:pPr>
            <w:r w:rsidRPr="003E1F72">
              <w:rPr>
                <w:color w:val="000000"/>
                <w:lang w:eastAsia="en-GB"/>
              </w:rPr>
              <w:t>Strong mentoring and advisory skills related to capacity building efforts.</w:t>
            </w:r>
          </w:p>
          <w:p w:rsidR="00CE6CD8" w:rsidRPr="003E1F72" w:rsidRDefault="00CE6CD8" w:rsidP="00CE6CD8">
            <w:pPr>
              <w:numPr>
                <w:ilvl w:val="0"/>
                <w:numId w:val="16"/>
              </w:numPr>
            </w:pPr>
            <w:r w:rsidRPr="003E1F72">
              <w:rPr>
                <w:color w:val="000000"/>
                <w:lang w:eastAsia="en-GB"/>
              </w:rPr>
              <w:t>Exposure to other country experiences and experience in other countries is a must.</w:t>
            </w:r>
          </w:p>
          <w:p w:rsidR="00CE6CD8" w:rsidRPr="003E1F72" w:rsidRDefault="00CE6CD8" w:rsidP="00CE6CD8">
            <w:pPr>
              <w:pStyle w:val="CommentText"/>
              <w:rPr>
                <w:rFonts w:cs="Arial"/>
                <w:color w:val="333333"/>
                <w:sz w:val="22"/>
                <w:szCs w:val="22"/>
              </w:rPr>
            </w:pPr>
          </w:p>
          <w:p w:rsidR="00CE6CD8" w:rsidRPr="00C626B5" w:rsidRDefault="00CE6CD8" w:rsidP="00CE6CD8">
            <w:pPr>
              <w:spacing w:before="100" w:beforeAutospacing="1" w:after="100" w:afterAutospacing="1" w:line="312" w:lineRule="auto"/>
              <w:jc w:val="both"/>
              <w:rPr>
                <w:b/>
                <w:bCs/>
              </w:rPr>
            </w:pPr>
            <w:r w:rsidRPr="00C626B5">
              <w:rPr>
                <w:b/>
                <w:bCs/>
              </w:rPr>
              <w:t>Language Requirements:</w:t>
            </w:r>
          </w:p>
          <w:p w:rsidR="00CE6CD8" w:rsidRPr="003E1F72" w:rsidRDefault="00CE6CD8" w:rsidP="00CE6CD8">
            <w:pPr>
              <w:numPr>
                <w:ilvl w:val="0"/>
                <w:numId w:val="16"/>
              </w:numPr>
            </w:pPr>
            <w:r w:rsidRPr="003E1F72">
              <w:rPr>
                <w:color w:val="000000"/>
                <w:lang w:eastAsia="en-GB"/>
              </w:rPr>
              <w:t>Fluency in English and Arabic (both in writing and oral) is a must.</w:t>
            </w:r>
          </w:p>
          <w:p w:rsidR="00CE6CD8" w:rsidRPr="003E1F72" w:rsidRDefault="00CE6CD8" w:rsidP="00CE6CD8">
            <w:pPr>
              <w:spacing w:before="100" w:beforeAutospacing="1" w:after="100" w:afterAutospacing="1" w:line="312" w:lineRule="auto"/>
              <w:jc w:val="both"/>
              <w:rPr>
                <w:b/>
                <w:bCs/>
                <w:color w:val="000000"/>
                <w:lang w:eastAsia="en-GB"/>
              </w:rPr>
            </w:pPr>
            <w:r w:rsidRPr="003E1F72">
              <w:rPr>
                <w:b/>
                <w:bCs/>
                <w:color w:val="000000"/>
                <w:lang w:eastAsia="en-GB"/>
              </w:rPr>
              <w:t>Core Competencies</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lastRenderedPageBreak/>
              <w:t xml:space="preserve">Reliably delivers on promises and honors commitments, holding himself/herself accountable for actions taken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Gains cooperation from others through understanding of the political and organizational culture.</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Helps peers to identify their unique strengths and weaknesses, training and development needs.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Inspires, motivates and empowers team members to excel in their responsibilities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Works collaboratively with team members sharing information openly and displaying cultural awareness and sensitivity.</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Delivers verbal/written information in a timely, clear, organized and easily understood manner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Synthesizes multiple/complex messages, identifies appropriate key points for different audiences and communicates concepts in a manner that influences the perceptions/behaviours of others.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Expresses own point of view in a neutral manner rather than in an argumentative tone, avoiding unproductive conflict.</w:t>
            </w:r>
          </w:p>
          <w:p w:rsidR="00CE6CD8" w:rsidRPr="003E1F72" w:rsidRDefault="00CE6CD8" w:rsidP="00CE6CD8">
            <w:pPr>
              <w:pStyle w:val="Style1"/>
              <w:numPr>
                <w:ilvl w:val="0"/>
                <w:numId w:val="0"/>
              </w:numPr>
              <w:ind w:left="644" w:hanging="360"/>
              <w:jc w:val="both"/>
              <w:rPr>
                <w:rFonts w:asciiTheme="minorHAnsi" w:hAnsiTheme="minorHAnsi" w:cs="Times New Roman"/>
                <w:bCs w:val="0"/>
                <w:color w:val="000000"/>
                <w:sz w:val="22"/>
                <w:szCs w:val="22"/>
                <w:lang w:eastAsia="en-GB"/>
              </w:rPr>
            </w:pPr>
          </w:p>
          <w:p w:rsidR="00CE6CD8" w:rsidRPr="003E1F72" w:rsidRDefault="00CE6CD8" w:rsidP="00CE6CD8">
            <w:pPr>
              <w:pStyle w:val="Style1"/>
              <w:numPr>
                <w:ilvl w:val="0"/>
                <w:numId w:val="0"/>
              </w:numPr>
              <w:jc w:val="both"/>
              <w:rPr>
                <w:rFonts w:asciiTheme="minorHAnsi" w:hAnsiTheme="minorHAnsi" w:cs="Times New Roman"/>
                <w:bCs w:val="0"/>
                <w:color w:val="000000"/>
                <w:sz w:val="22"/>
                <w:szCs w:val="22"/>
                <w:lang w:eastAsia="en-GB"/>
              </w:rPr>
            </w:pPr>
            <w:r w:rsidRPr="003E1F72">
              <w:rPr>
                <w:rFonts w:asciiTheme="minorHAnsi" w:hAnsiTheme="minorHAnsi" w:cs="Times New Roman"/>
                <w:bCs w:val="0"/>
                <w:color w:val="000000"/>
                <w:sz w:val="22"/>
                <w:szCs w:val="22"/>
                <w:lang w:eastAsia="en-GB"/>
              </w:rPr>
              <w:t>Functional Competencies</w:t>
            </w:r>
          </w:p>
          <w:p w:rsidR="00CE6CD8" w:rsidRPr="003E1F72" w:rsidRDefault="00CE6CD8" w:rsidP="00CE6CD8">
            <w:pPr>
              <w:pStyle w:val="Style1"/>
              <w:numPr>
                <w:ilvl w:val="0"/>
                <w:numId w:val="0"/>
              </w:numPr>
              <w:jc w:val="both"/>
              <w:rPr>
                <w:rFonts w:asciiTheme="minorHAnsi" w:hAnsiTheme="minorHAnsi" w:cs="Times New Roman"/>
                <w:bCs w:val="0"/>
                <w:color w:val="000000"/>
                <w:sz w:val="22"/>
                <w:szCs w:val="22"/>
                <w:lang w:eastAsia="en-GB"/>
              </w:rPr>
            </w:pPr>
          </w:p>
          <w:p w:rsidR="00CE6CD8" w:rsidRPr="00C626B5" w:rsidRDefault="00CE6CD8" w:rsidP="00CE6CD8">
            <w:pPr>
              <w:widowControl w:val="0"/>
              <w:autoSpaceDE w:val="0"/>
              <w:autoSpaceDN w:val="0"/>
              <w:adjustRightInd w:val="0"/>
              <w:spacing w:after="240"/>
              <w:rPr>
                <w:iCs/>
                <w:color w:val="000000"/>
                <w:lang w:eastAsia="en-GB"/>
              </w:rPr>
            </w:pPr>
            <w:r w:rsidRPr="00C626B5">
              <w:rPr>
                <w:iCs/>
                <w:color w:val="000000"/>
                <w:lang w:eastAsia="en-GB"/>
              </w:rPr>
              <w:t xml:space="preserve">Client Orientation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Works towards creating an enabling environment for a smooth relationship between the clients and service provider.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Solicits feedback on service provision and quality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0"/>
              </w:numPr>
              <w:jc w:val="both"/>
              <w:rPr>
                <w:rFonts w:asciiTheme="minorHAnsi" w:hAnsiTheme="minorHAnsi" w:cs="Times New Roman"/>
                <w:b w:val="0"/>
                <w:bCs w:val="0"/>
                <w:color w:val="000000"/>
                <w:sz w:val="22"/>
                <w:szCs w:val="22"/>
                <w:lang w:eastAsia="en-GB"/>
              </w:rPr>
            </w:pPr>
          </w:p>
          <w:p w:rsidR="00CE6CD8" w:rsidRPr="00C626B5" w:rsidRDefault="00CE6CD8" w:rsidP="00CE6CD8">
            <w:pPr>
              <w:pStyle w:val="Style1"/>
              <w:numPr>
                <w:ilvl w:val="0"/>
                <w:numId w:val="0"/>
              </w:numPr>
              <w:jc w:val="both"/>
              <w:rPr>
                <w:rFonts w:asciiTheme="minorHAnsi" w:hAnsiTheme="minorHAnsi" w:cs="Times New Roman"/>
                <w:b w:val="0"/>
                <w:bCs w:val="0"/>
                <w:iCs/>
                <w:color w:val="000000"/>
                <w:sz w:val="22"/>
                <w:szCs w:val="22"/>
                <w:lang w:eastAsia="en-GB"/>
              </w:rPr>
            </w:pPr>
            <w:r w:rsidRPr="00C626B5">
              <w:rPr>
                <w:rFonts w:asciiTheme="minorHAnsi" w:hAnsiTheme="minorHAnsi" w:cs="Times New Roman"/>
                <w:b w:val="0"/>
                <w:bCs w:val="0"/>
                <w:iCs/>
                <w:color w:val="000000"/>
                <w:sz w:val="22"/>
                <w:szCs w:val="22"/>
                <w:lang w:eastAsia="en-GB"/>
              </w:rPr>
              <w:t xml:space="preserve">Conceptual Innovation in the provision of technical expertise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Documents and tracks innovative strategies/best practices/new approaches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0"/>
              </w:numPr>
              <w:ind w:left="720"/>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Ensures that the design of labour market reporting is appropriate to regional and country social and development context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Leverages multi-disciplinary, institutional knowledge and experience of other countries and regions to promote UNDP’s development agenda.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0"/>
              </w:numPr>
              <w:ind w:left="360"/>
              <w:jc w:val="both"/>
              <w:rPr>
                <w:rFonts w:asciiTheme="minorHAnsi" w:hAnsiTheme="minorHAnsi" w:cs="Times New Roman"/>
                <w:b w:val="0"/>
                <w:bCs w:val="0"/>
                <w:color w:val="000000"/>
                <w:sz w:val="22"/>
                <w:szCs w:val="22"/>
                <w:lang w:eastAsia="en-GB"/>
              </w:rPr>
            </w:pPr>
          </w:p>
          <w:p w:rsidR="00CE6CD8" w:rsidRPr="00C626B5" w:rsidRDefault="00CE6CD8" w:rsidP="00CE6CD8">
            <w:pPr>
              <w:widowControl w:val="0"/>
              <w:autoSpaceDE w:val="0"/>
              <w:autoSpaceDN w:val="0"/>
              <w:adjustRightInd w:val="0"/>
              <w:spacing w:after="240"/>
              <w:rPr>
                <w:iCs/>
                <w:color w:val="000000"/>
                <w:lang w:eastAsia="en-GB"/>
              </w:rPr>
            </w:pPr>
            <w:r w:rsidRPr="00C626B5">
              <w:rPr>
                <w:iCs/>
                <w:color w:val="000000"/>
                <w:lang w:eastAsia="en-GB"/>
              </w:rPr>
              <w:t xml:space="preserve">Promoting organizational change and development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Performs appropriate work analysis and assists in redesign to establish clear standards for implementation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Develops communications and programmes to assist business units in their adaptation to changing environment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0"/>
              </w:numPr>
              <w:jc w:val="both"/>
              <w:rPr>
                <w:rFonts w:asciiTheme="minorHAnsi" w:hAnsiTheme="minorHAnsi" w:cs="Times New Roman"/>
                <w:b w:val="0"/>
                <w:bCs w:val="0"/>
                <w:color w:val="000000"/>
                <w:sz w:val="22"/>
                <w:szCs w:val="22"/>
                <w:lang w:eastAsia="en-GB"/>
              </w:rPr>
            </w:pPr>
          </w:p>
          <w:p w:rsidR="00CE6CD8" w:rsidRPr="00C626B5" w:rsidRDefault="00CE6CD8" w:rsidP="00CE6CD8">
            <w:pPr>
              <w:pStyle w:val="Style1"/>
              <w:numPr>
                <w:ilvl w:val="0"/>
                <w:numId w:val="0"/>
              </w:numPr>
              <w:jc w:val="both"/>
              <w:rPr>
                <w:rFonts w:asciiTheme="minorHAnsi" w:hAnsiTheme="minorHAnsi" w:cs="Times New Roman"/>
                <w:b w:val="0"/>
                <w:bCs w:val="0"/>
                <w:iCs/>
                <w:color w:val="000000"/>
                <w:sz w:val="22"/>
                <w:szCs w:val="22"/>
                <w:lang w:eastAsia="en-GB"/>
              </w:rPr>
            </w:pPr>
            <w:r w:rsidRPr="00C626B5">
              <w:rPr>
                <w:rFonts w:asciiTheme="minorHAnsi" w:hAnsiTheme="minorHAnsi" w:cs="Times New Roman"/>
                <w:b w:val="0"/>
                <w:bCs w:val="0"/>
                <w:iCs/>
                <w:color w:val="000000"/>
                <w:sz w:val="22"/>
                <w:szCs w:val="22"/>
                <w:lang w:eastAsia="en-GB"/>
              </w:rPr>
              <w:t>Job Knowledge/Technical Expertise</w:t>
            </w:r>
          </w:p>
          <w:p w:rsidR="00CE6CD8" w:rsidRPr="003E1F72" w:rsidRDefault="00CE6CD8" w:rsidP="00CE6CD8">
            <w:pPr>
              <w:pStyle w:val="Style1"/>
              <w:numPr>
                <w:ilvl w:val="0"/>
                <w:numId w:val="0"/>
              </w:numPr>
              <w:jc w:val="both"/>
              <w:rPr>
                <w:rFonts w:asciiTheme="minorHAnsi" w:hAnsiTheme="minorHAnsi" w:cs="Times New Roman"/>
                <w:b w:val="0"/>
                <w:bCs w:val="0"/>
                <w:i/>
                <w:color w:val="000000"/>
                <w:sz w:val="22"/>
                <w:szCs w:val="22"/>
                <w:lang w:eastAsia="en-GB"/>
              </w:rPr>
            </w:pP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Understands more advanced aspects of Labour Market Research and Reporting as well as the fundamental concepts of related disciplines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 xml:space="preserve">Continues to seek new and improved methods and systems for accomplishing the work of the unit.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Keeps abreast of new developments in area of Labour Market Research and reporting, and seeks to develop him/herself professionally.</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lastRenderedPageBreak/>
              <w:t xml:space="preserve">Demonstrates comprehensive knowledge of information technology and applies it in work assignments. </w:t>
            </w:r>
            <w:r w:rsidRPr="003E1F72">
              <w:rPr>
                <w:rFonts w:ascii="MS Gothic" w:eastAsia="MS Gothic" w:hAnsi="MS Gothic" w:cs="MS Gothic" w:hint="eastAsia"/>
                <w:b w:val="0"/>
                <w:bCs w:val="0"/>
                <w:color w:val="000000"/>
                <w:sz w:val="22"/>
                <w:szCs w:val="22"/>
                <w:lang w:eastAsia="en-GB"/>
              </w:rPr>
              <w:t> </w:t>
            </w:r>
          </w:p>
          <w:p w:rsidR="00CE6CD8" w:rsidRPr="003E1F72" w:rsidRDefault="00CE6CD8" w:rsidP="00CE6CD8">
            <w:pPr>
              <w:widowControl w:val="0"/>
              <w:tabs>
                <w:tab w:val="left" w:pos="220"/>
                <w:tab w:val="left" w:pos="720"/>
              </w:tabs>
              <w:autoSpaceDE w:val="0"/>
              <w:autoSpaceDN w:val="0"/>
              <w:adjustRightInd w:val="0"/>
              <w:spacing w:after="240"/>
              <w:rPr>
                <w:color w:val="000000"/>
                <w:lang w:eastAsia="en-GB"/>
              </w:rPr>
            </w:pPr>
          </w:p>
          <w:p w:rsidR="00CE6CD8" w:rsidRPr="00C626B5" w:rsidRDefault="00CE6CD8" w:rsidP="00CE6CD8">
            <w:pPr>
              <w:widowControl w:val="0"/>
              <w:autoSpaceDE w:val="0"/>
              <w:autoSpaceDN w:val="0"/>
              <w:adjustRightInd w:val="0"/>
              <w:spacing w:after="240"/>
              <w:rPr>
                <w:iCs/>
                <w:color w:val="000000"/>
                <w:lang w:eastAsia="en-GB"/>
              </w:rPr>
            </w:pPr>
            <w:r w:rsidRPr="00C626B5">
              <w:rPr>
                <w:iCs/>
                <w:color w:val="000000"/>
                <w:lang w:eastAsia="en-GB"/>
              </w:rPr>
              <w:t xml:space="preserve">Promoting organizational Learning and knowledge sharing </w:t>
            </w:r>
          </w:p>
          <w:p w:rsidR="00CE6CD8" w:rsidRPr="003E1F72" w:rsidRDefault="00CE6CD8" w:rsidP="00CE6CD8">
            <w:pPr>
              <w:pStyle w:val="Style1"/>
              <w:numPr>
                <w:ilvl w:val="0"/>
                <w:numId w:val="16"/>
              </w:numPr>
              <w:jc w:val="both"/>
              <w:rPr>
                <w:rFonts w:asciiTheme="minorHAnsi" w:hAnsiTheme="minorHAnsi" w:cs="Times New Roman"/>
                <w:b w:val="0"/>
                <w:bCs w:val="0"/>
                <w:color w:val="000000"/>
                <w:sz w:val="22"/>
                <w:szCs w:val="22"/>
                <w:lang w:eastAsia="en-GB"/>
              </w:rPr>
            </w:pPr>
            <w:r w:rsidRPr="003E1F72">
              <w:rPr>
                <w:rFonts w:asciiTheme="minorHAnsi" w:hAnsiTheme="minorHAnsi" w:cs="Times New Roman"/>
                <w:b w:val="0"/>
                <w:bCs w:val="0"/>
                <w:color w:val="000000"/>
                <w:sz w:val="22"/>
                <w:szCs w:val="22"/>
                <w:lang w:eastAsia="en-GB"/>
              </w:rPr>
              <w:t>Develops and/or participates in the development of tools and mechanisms, including identifying new approaches to promote individual and organizational learning and knowledge sharing using formal and informal methodologies.</w:t>
            </w:r>
          </w:p>
          <w:p w:rsidR="00CE6CD8" w:rsidRPr="00307704" w:rsidRDefault="00CE6CD8" w:rsidP="00CE6CD8">
            <w:pPr>
              <w:rPr>
                <w:color w:val="333333"/>
                <w:lang w:val="en-GB"/>
              </w:rPr>
            </w:pPr>
          </w:p>
          <w:p w:rsidR="00CE6CD8" w:rsidRDefault="00CE6CD8" w:rsidP="00CE6CD8"/>
        </w:tc>
      </w:tr>
    </w:tbl>
    <w:p w:rsidR="0065710B" w:rsidRDefault="0065710B" w:rsidP="00A24134">
      <w:pPr>
        <w:rPr>
          <w:b/>
        </w:rPr>
      </w:pPr>
    </w:p>
    <w:p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rsidTr="00443E94">
        <w:tc>
          <w:tcPr>
            <w:tcW w:w="9576" w:type="dxa"/>
          </w:tcPr>
          <w:p w:rsidR="0065710B" w:rsidRDefault="0065710B" w:rsidP="0065710B">
            <w:r>
              <w:t>Interested individual consultants must submit the following documents/information to demonstrate their qualifications:</w:t>
            </w:r>
          </w:p>
          <w:p w:rsidR="00C626B5" w:rsidRDefault="00C626B5" w:rsidP="0065710B"/>
          <w:p w:rsidR="0065710B" w:rsidRDefault="0065710B" w:rsidP="0065710B">
            <w:r>
              <w:t>1. Proposal:</w:t>
            </w:r>
          </w:p>
          <w:p w:rsidR="0065710B" w:rsidRDefault="0065710B" w:rsidP="0065710B">
            <w:r>
              <w:t>(i) Explaining why they are the most suitable for the work</w:t>
            </w:r>
          </w:p>
          <w:p w:rsidR="0065710B" w:rsidRDefault="0065710B" w:rsidP="00E40D26">
            <w:r>
              <w:t>(ii) Provide a brief methodology on how they will approach and conduct the work</w:t>
            </w:r>
          </w:p>
          <w:p w:rsidR="0065710B" w:rsidRDefault="0065710B" w:rsidP="0065710B"/>
          <w:p w:rsidR="0065710B" w:rsidRDefault="0065710B" w:rsidP="0065710B">
            <w:r>
              <w:t>2. Financial proposal</w:t>
            </w:r>
          </w:p>
          <w:p w:rsidR="0065710B" w:rsidRDefault="0065710B" w:rsidP="00A24134">
            <w:pPr>
              <w:rPr>
                <w:b/>
              </w:rPr>
            </w:pPr>
            <w:r>
              <w:t>3. Personal CV including past experience in similar projects and at least 3 reference</w:t>
            </w:r>
            <w:r>
              <w:rPr>
                <w:b/>
              </w:rPr>
              <w:t>s</w:t>
            </w:r>
          </w:p>
        </w:tc>
      </w:tr>
    </w:tbl>
    <w:p w:rsidR="003836C0" w:rsidRDefault="003836C0" w:rsidP="0033411B">
      <w:pPr>
        <w:autoSpaceDE w:val="0"/>
        <w:autoSpaceDN w:val="0"/>
        <w:adjustRightInd w:val="0"/>
        <w:spacing w:after="0" w:line="240" w:lineRule="auto"/>
        <w:rPr>
          <w:rFonts w:ascii="Calibri" w:hAnsi="Calibri" w:cs="Calibri"/>
          <w:b/>
        </w:rPr>
      </w:pPr>
    </w:p>
    <w:p w:rsidR="0065710B" w:rsidRDefault="0065710B" w:rsidP="0033411B">
      <w:pPr>
        <w:autoSpaceDE w:val="0"/>
        <w:autoSpaceDN w:val="0"/>
        <w:adjustRightInd w:val="0"/>
        <w:spacing w:after="0" w:line="240" w:lineRule="auto"/>
        <w:rPr>
          <w:rFonts w:ascii="Calibri" w:hAnsi="Calibri" w:cs="Calibri"/>
          <w:b/>
        </w:rPr>
      </w:pPr>
    </w:p>
    <w:p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rsidTr="00443E94">
        <w:tc>
          <w:tcPr>
            <w:tcW w:w="9576" w:type="dxa"/>
          </w:tcPr>
          <w:p w:rsidR="00C626B5" w:rsidRDefault="00C626B5" w:rsidP="0065710B">
            <w:pPr>
              <w:spacing w:line="288" w:lineRule="auto"/>
              <w:jc w:val="both"/>
              <w:rPr>
                <w:i/>
                <w:color w:val="FF0000"/>
              </w:rPr>
            </w:pPr>
          </w:p>
          <w:p w:rsidR="0065710B" w:rsidRPr="00C64099" w:rsidRDefault="0065710B" w:rsidP="00E40D26">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Payments are based upon output, i.e. upon delivery of the services specified in the TOR.  </w:t>
            </w:r>
          </w:p>
          <w:p w:rsidR="0065710B" w:rsidRDefault="0065710B" w:rsidP="0065710B">
            <w:pPr>
              <w:jc w:val="both"/>
              <w:rPr>
                <w:rFonts w:ascii="Cambria" w:hAnsi="Cambria" w:cs="Myriad Pro"/>
                <w:sz w:val="24"/>
                <w:szCs w:val="24"/>
              </w:rPr>
            </w:pPr>
          </w:p>
          <w:p w:rsidR="0065710B" w:rsidRPr="00CA6B65" w:rsidRDefault="0065710B" w:rsidP="0065710B">
            <w:pPr>
              <w:spacing w:line="288" w:lineRule="auto"/>
              <w:jc w:val="both"/>
              <w:rPr>
                <w:b/>
              </w:rPr>
            </w:pPr>
            <w:r w:rsidRPr="00CA6B65">
              <w:rPr>
                <w:b/>
              </w:rPr>
              <w:t>Travel</w:t>
            </w:r>
            <w:r w:rsidR="00CA6B65" w:rsidRPr="00CA6B65">
              <w:rPr>
                <w:b/>
              </w:rPr>
              <w:t xml:space="preserve"> and Accommodation</w:t>
            </w:r>
            <w:r w:rsidRPr="00CA6B65">
              <w:rPr>
                <w:b/>
              </w:rPr>
              <w:t>;</w:t>
            </w:r>
          </w:p>
          <w:p w:rsidR="00CA6B65" w:rsidRPr="00CA6B65" w:rsidRDefault="0065710B" w:rsidP="00CA6B65">
            <w:pPr>
              <w:spacing w:line="288" w:lineRule="auto"/>
              <w:jc w:val="both"/>
            </w:pPr>
            <w:r w:rsidRPr="00CA6B65">
              <w:t xml:space="preserve">All envisaged travel </w:t>
            </w:r>
            <w:r w:rsidR="00CA6B65" w:rsidRPr="00CA6B65">
              <w:t xml:space="preserve">and accommodation </w:t>
            </w:r>
            <w:r w:rsidRPr="00CA6B65">
              <w:t>costs must be included in the financial proposal. This includes all travel to join dut</w:t>
            </w:r>
            <w:r w:rsidR="00CA6B65" w:rsidRPr="00CA6B65">
              <w:t>y station</w:t>
            </w:r>
            <w:r w:rsidR="00CA6B65">
              <w:t>/repatriation travel,</w:t>
            </w:r>
            <w:r w:rsidR="00CA6B65" w:rsidRPr="00CA6B65">
              <w:t xml:space="preserve"> logistics</w:t>
            </w:r>
            <w:r w:rsidR="00CA6B65">
              <w:t>, accommodation, and laptobs.</w:t>
            </w:r>
          </w:p>
          <w:p w:rsidR="0065710B" w:rsidRPr="00443E94" w:rsidRDefault="0065710B" w:rsidP="0065710B">
            <w:pPr>
              <w:spacing w:line="288" w:lineRule="auto"/>
              <w:jc w:val="both"/>
            </w:pPr>
          </w:p>
        </w:tc>
      </w:tr>
    </w:tbl>
    <w:p w:rsidR="00443E94" w:rsidRDefault="00443E94" w:rsidP="00A24134">
      <w:pPr>
        <w:rPr>
          <w:b/>
        </w:rPr>
      </w:pPr>
    </w:p>
    <w:p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rsidTr="00443E94">
        <w:tc>
          <w:tcPr>
            <w:tcW w:w="9576" w:type="dxa"/>
          </w:tcPr>
          <w:p w:rsidR="00CA6B65" w:rsidRDefault="00CA6B65" w:rsidP="00EA697D">
            <w:pPr>
              <w:rPr>
                <w:i/>
                <w:color w:val="FF0000"/>
              </w:rPr>
            </w:pPr>
          </w:p>
          <w:p w:rsidR="00EA697D" w:rsidRPr="00CA6B65" w:rsidRDefault="00EA697D" w:rsidP="00CA6B65">
            <w:r w:rsidRPr="00CA6B65">
              <w:t>Individual consultants will be evaluated based</w:t>
            </w:r>
            <w:r w:rsidR="00CA6B65" w:rsidRPr="00CA6B65">
              <w:t xml:space="preserve"> on culmative analysis methodology. </w:t>
            </w:r>
            <w:r w:rsidRPr="00CA6B65">
              <w:t>When using this weighted scoring method, the award of the contract should be made to the individual consultant whose offer has been evaluated and determined as:</w:t>
            </w:r>
          </w:p>
          <w:p w:rsidR="00CA6B65" w:rsidRPr="00CA6B65" w:rsidRDefault="00CA6B65" w:rsidP="00CA6B65"/>
          <w:p w:rsidR="00EA697D" w:rsidRPr="00CA6B65" w:rsidRDefault="00EA697D" w:rsidP="00EA697D">
            <w:r w:rsidRPr="00CA6B65">
              <w:t>a) responsive/compliant/acceptable, and</w:t>
            </w:r>
          </w:p>
          <w:p w:rsidR="00EA697D" w:rsidRPr="00CA6B65" w:rsidRDefault="00EA697D" w:rsidP="00EA697D">
            <w:r w:rsidRPr="00CA6B65">
              <w:t>b) Having received the highest score out of a pre-determined set of weighted technical and financial criteria specific to the solicitation.</w:t>
            </w:r>
          </w:p>
          <w:p w:rsidR="00CA6B65" w:rsidRPr="00CA6B65" w:rsidRDefault="00CA6B65" w:rsidP="00EA697D"/>
          <w:p w:rsidR="00EA697D" w:rsidRPr="00CA6B65" w:rsidRDefault="00EA697D" w:rsidP="00CA6B65">
            <w:pPr>
              <w:spacing w:line="360" w:lineRule="auto"/>
            </w:pPr>
            <w:r w:rsidRPr="00CA6B65">
              <w:t>* Technical Criteria weight</w:t>
            </w:r>
            <w:r w:rsidR="00CA6B65" w:rsidRPr="00CA6B65">
              <w:t>: 70%</w:t>
            </w:r>
          </w:p>
          <w:p w:rsidR="00EA697D" w:rsidRPr="00CA6B65" w:rsidRDefault="00EA697D" w:rsidP="00CA6B65">
            <w:pPr>
              <w:spacing w:line="360" w:lineRule="auto"/>
            </w:pPr>
            <w:r w:rsidRPr="00CA6B65">
              <w:t>* Financial Criteria weight</w:t>
            </w:r>
            <w:r w:rsidR="00CA6B65" w:rsidRPr="00CA6B65">
              <w:t>: 30%</w:t>
            </w:r>
          </w:p>
          <w:p w:rsidR="00EA697D" w:rsidRPr="00CA6B65" w:rsidRDefault="00EA697D" w:rsidP="00CA6B65">
            <w:pPr>
              <w:spacing w:line="360" w:lineRule="auto"/>
            </w:pPr>
            <w:r w:rsidRPr="00CA6B65">
              <w:t xml:space="preserve">Only candidates obtaining a minimum of </w:t>
            </w:r>
            <w:r w:rsidR="00CA6B65" w:rsidRPr="00CA6B65">
              <w:t xml:space="preserve">70% </w:t>
            </w:r>
            <w:r w:rsidRPr="00CA6B65">
              <w:t>would be considered for the Financial Evaluation</w:t>
            </w:r>
          </w:p>
          <w:p w:rsidR="00CE6CD8" w:rsidRPr="00CA6B65" w:rsidRDefault="00CE6CD8" w:rsidP="00EA697D">
            <w:pPr>
              <w:spacing w:line="360" w:lineRule="auto"/>
            </w:pPr>
          </w:p>
          <w:p w:rsidR="00CE6CD8" w:rsidRPr="00F36810" w:rsidRDefault="00CE6CD8" w:rsidP="00CE6CD8">
            <w:pPr>
              <w:jc w:val="both"/>
              <w:rPr>
                <w:rFonts w:ascii="Calibri" w:hAnsi="Calibri"/>
                <w:lang w:val="en-GB"/>
              </w:rPr>
            </w:pPr>
            <w:r w:rsidRPr="00F36810">
              <w:rPr>
                <w:rFonts w:ascii="Calibri" w:hAnsi="Calibri"/>
                <w:lang w:val="en-GB"/>
              </w:rPr>
              <w:t>Deliverables and Time Frame:</w:t>
            </w:r>
          </w:p>
          <w:p w:rsidR="00CA6B65" w:rsidRPr="00F36810" w:rsidRDefault="00CA6B65" w:rsidP="00CE6CD8">
            <w:pPr>
              <w:jc w:val="both"/>
              <w:rPr>
                <w:rFonts w:ascii="Calibri" w:hAnsi="Calibri"/>
                <w:b/>
                <w:bCs/>
                <w:u w:val="single"/>
                <w:lang w:val="en-GB"/>
              </w:rPr>
            </w:pPr>
          </w:p>
          <w:tbl>
            <w:tblPr>
              <w:tblStyle w:val="TableGrid"/>
              <w:tblW w:w="0" w:type="auto"/>
              <w:tblLook w:val="04A0" w:firstRow="1" w:lastRow="0" w:firstColumn="1" w:lastColumn="0" w:noHBand="0" w:noVBand="1"/>
            </w:tblPr>
            <w:tblGrid>
              <w:gridCol w:w="3048"/>
              <w:gridCol w:w="3042"/>
              <w:gridCol w:w="3034"/>
            </w:tblGrid>
            <w:tr w:rsidR="00CA6B65" w:rsidRPr="00F36810" w:rsidTr="00E40D26">
              <w:trPr>
                <w:trHeight w:val="404"/>
              </w:trPr>
              <w:tc>
                <w:tcPr>
                  <w:tcW w:w="3048" w:type="dxa"/>
                  <w:shd w:val="clear" w:color="auto" w:fill="BFBFBF" w:themeFill="background1" w:themeFillShade="BF"/>
                </w:tcPr>
                <w:p w:rsidR="00CA6B65" w:rsidRPr="00F36810" w:rsidRDefault="00CA6B65" w:rsidP="00CA6B65">
                  <w:pPr>
                    <w:jc w:val="center"/>
                    <w:rPr>
                      <w:rFonts w:ascii="Calibri" w:hAnsi="Calibri"/>
                      <w:b/>
                      <w:bCs/>
                      <w:lang w:val="en-GB"/>
                    </w:rPr>
                  </w:pPr>
                  <w:r w:rsidRPr="00F36810">
                    <w:rPr>
                      <w:rFonts w:ascii="Calibri" w:hAnsi="Calibri"/>
                      <w:b/>
                      <w:bCs/>
                      <w:lang w:val="en-GB"/>
                    </w:rPr>
                    <w:t>Deliverable</w:t>
                  </w:r>
                </w:p>
              </w:tc>
              <w:tc>
                <w:tcPr>
                  <w:tcW w:w="3042" w:type="dxa"/>
                  <w:shd w:val="clear" w:color="auto" w:fill="BFBFBF" w:themeFill="background1" w:themeFillShade="BF"/>
                </w:tcPr>
                <w:p w:rsidR="00CA6B65" w:rsidRPr="00F36810" w:rsidRDefault="00CA6B65" w:rsidP="00CA6B65">
                  <w:pPr>
                    <w:jc w:val="center"/>
                    <w:rPr>
                      <w:rFonts w:ascii="Calibri" w:hAnsi="Calibri"/>
                      <w:b/>
                      <w:bCs/>
                      <w:lang w:val="en-GB"/>
                    </w:rPr>
                  </w:pPr>
                  <w:r w:rsidRPr="00F36810">
                    <w:rPr>
                      <w:rFonts w:ascii="Calibri" w:hAnsi="Calibri"/>
                      <w:b/>
                      <w:bCs/>
                      <w:lang w:val="en-GB"/>
                    </w:rPr>
                    <w:t>Time Frame</w:t>
                  </w:r>
                </w:p>
              </w:tc>
              <w:tc>
                <w:tcPr>
                  <w:tcW w:w="3034" w:type="dxa"/>
                  <w:shd w:val="clear" w:color="auto" w:fill="BFBFBF" w:themeFill="background1" w:themeFillShade="BF"/>
                </w:tcPr>
                <w:p w:rsidR="00CA6B65" w:rsidRPr="00F36810" w:rsidRDefault="00CA6B65" w:rsidP="00CA6B65">
                  <w:pPr>
                    <w:jc w:val="center"/>
                    <w:rPr>
                      <w:rFonts w:ascii="Calibri" w:hAnsi="Calibri"/>
                      <w:b/>
                      <w:bCs/>
                      <w:lang w:val="en-GB"/>
                    </w:rPr>
                  </w:pPr>
                  <w:r w:rsidRPr="00F36810">
                    <w:rPr>
                      <w:rFonts w:ascii="Calibri" w:hAnsi="Calibri"/>
                      <w:b/>
                      <w:bCs/>
                      <w:lang w:val="en-GB"/>
                    </w:rPr>
                    <w:t>% of Payment</w:t>
                  </w:r>
                </w:p>
              </w:tc>
            </w:tr>
            <w:tr w:rsidR="00CA6B65" w:rsidRPr="00F36810" w:rsidTr="00E40D26">
              <w:tc>
                <w:tcPr>
                  <w:tcW w:w="3048" w:type="dxa"/>
                </w:tcPr>
                <w:p w:rsidR="00CA6B65" w:rsidRPr="00F36810" w:rsidRDefault="00CA6B65" w:rsidP="00F36810">
                  <w:pPr>
                    <w:rPr>
                      <w:rFonts w:ascii="Calibri" w:hAnsi="Calibri"/>
                      <w:lang w:val="en-GB"/>
                    </w:rPr>
                  </w:pPr>
                  <w:r w:rsidRPr="00F36810">
                    <w:rPr>
                      <w:rFonts w:ascii="Calibri" w:hAnsi="Calibri"/>
                      <w:lang w:val="en-GB"/>
                    </w:rPr>
                    <w:t>A high level work Plan at the outset of the assignment including capacity development plan.</w:t>
                  </w:r>
                </w:p>
              </w:tc>
              <w:tc>
                <w:tcPr>
                  <w:tcW w:w="3042" w:type="dxa"/>
                </w:tcPr>
                <w:p w:rsidR="00CA6B65" w:rsidRPr="00F36810" w:rsidRDefault="00CA6B65" w:rsidP="00CA6B65">
                  <w:pPr>
                    <w:jc w:val="center"/>
                    <w:rPr>
                      <w:rFonts w:ascii="Calibri" w:hAnsi="Calibri"/>
                      <w:lang w:val="en-GB"/>
                    </w:rPr>
                  </w:pPr>
                  <w:r w:rsidRPr="00F36810">
                    <w:rPr>
                      <w:rFonts w:ascii="Calibri" w:hAnsi="Calibri"/>
                      <w:lang w:val="en-GB"/>
                    </w:rPr>
                    <w:t>2 weeks from signing the contract.</w:t>
                  </w:r>
                </w:p>
              </w:tc>
              <w:tc>
                <w:tcPr>
                  <w:tcW w:w="3034" w:type="dxa"/>
                </w:tcPr>
                <w:p w:rsidR="00CA6B65" w:rsidRPr="00F36810" w:rsidRDefault="00F36810" w:rsidP="00CA6B65">
                  <w:pPr>
                    <w:jc w:val="center"/>
                    <w:rPr>
                      <w:rFonts w:ascii="Calibri" w:hAnsi="Calibri"/>
                      <w:lang w:val="en-GB"/>
                    </w:rPr>
                  </w:pPr>
                  <w:r w:rsidRPr="00F36810">
                    <w:rPr>
                      <w:rFonts w:ascii="Calibri" w:hAnsi="Calibri"/>
                      <w:lang w:val="en-GB"/>
                    </w:rPr>
                    <w:t>20%</w:t>
                  </w:r>
                </w:p>
              </w:tc>
            </w:tr>
            <w:tr w:rsidR="00CA6B65" w:rsidRPr="00F36810" w:rsidTr="00E40D26">
              <w:tc>
                <w:tcPr>
                  <w:tcW w:w="3048" w:type="dxa"/>
                </w:tcPr>
                <w:p w:rsidR="00CA6B65" w:rsidRPr="00F36810" w:rsidRDefault="00CA6B65" w:rsidP="00F36810">
                  <w:pPr>
                    <w:rPr>
                      <w:rFonts w:ascii="Calibri" w:hAnsi="Calibri"/>
                      <w:lang w:val="en-GB"/>
                    </w:rPr>
                  </w:pPr>
                  <w:r w:rsidRPr="00F36810">
                    <w:rPr>
                      <w:rFonts w:ascii="Calibri" w:hAnsi="Calibri"/>
                      <w:lang w:val="en-GB"/>
                    </w:rPr>
                    <w:t>Full system audit / assessment on the labour market reporting</w:t>
                  </w:r>
                  <w:r w:rsidR="00F36810" w:rsidRPr="00F36810">
                    <w:rPr>
                      <w:rFonts w:ascii="Calibri" w:hAnsi="Calibri"/>
                      <w:lang w:val="en-GB"/>
                    </w:rPr>
                    <w:t>.</w:t>
                  </w:r>
                </w:p>
              </w:tc>
              <w:tc>
                <w:tcPr>
                  <w:tcW w:w="3042" w:type="dxa"/>
                </w:tcPr>
                <w:p w:rsidR="00CA6B65" w:rsidRPr="00F36810" w:rsidRDefault="00F36810" w:rsidP="00CA6B65">
                  <w:pPr>
                    <w:jc w:val="center"/>
                    <w:rPr>
                      <w:rFonts w:ascii="Calibri" w:hAnsi="Calibri"/>
                      <w:lang w:val="en-GB"/>
                    </w:rPr>
                  </w:pPr>
                  <w:r w:rsidRPr="00F36810">
                    <w:rPr>
                      <w:rFonts w:ascii="Calibri" w:hAnsi="Calibri"/>
                      <w:lang w:val="en-GB"/>
                    </w:rPr>
                    <w:t>By the end of the fourth</w:t>
                  </w:r>
                  <w:r w:rsidR="00E40D26">
                    <w:rPr>
                      <w:rFonts w:ascii="Calibri" w:hAnsi="Calibri"/>
                      <w:lang w:val="en-GB"/>
                    </w:rPr>
                    <w:t xml:space="preserve"> week</w:t>
                  </w:r>
                </w:p>
              </w:tc>
              <w:tc>
                <w:tcPr>
                  <w:tcW w:w="3034" w:type="dxa"/>
                </w:tcPr>
                <w:p w:rsidR="00CA6B65" w:rsidRPr="00F36810" w:rsidRDefault="00F36810" w:rsidP="00CA6B65">
                  <w:pPr>
                    <w:jc w:val="center"/>
                    <w:rPr>
                      <w:rFonts w:ascii="Calibri" w:hAnsi="Calibri"/>
                      <w:lang w:val="en-GB"/>
                    </w:rPr>
                  </w:pPr>
                  <w:r w:rsidRPr="00F36810">
                    <w:rPr>
                      <w:rFonts w:ascii="Calibri" w:hAnsi="Calibri"/>
                      <w:lang w:val="en-GB"/>
                    </w:rPr>
                    <w:t>20%</w:t>
                  </w:r>
                </w:p>
              </w:tc>
            </w:tr>
            <w:tr w:rsidR="00CA6B65" w:rsidRPr="00F36810" w:rsidTr="00E40D26">
              <w:tc>
                <w:tcPr>
                  <w:tcW w:w="3048" w:type="dxa"/>
                </w:tcPr>
                <w:p w:rsidR="00CA6B65" w:rsidRPr="00F36810" w:rsidRDefault="00CA6B65" w:rsidP="00F36810">
                  <w:pPr>
                    <w:rPr>
                      <w:rFonts w:ascii="Calibri" w:hAnsi="Calibri"/>
                      <w:lang w:val="en-GB"/>
                    </w:rPr>
                  </w:pPr>
                  <w:r w:rsidRPr="00F36810">
                    <w:rPr>
                      <w:rFonts w:ascii="Calibri" w:hAnsi="Calibri"/>
                      <w:lang w:val="en-GB"/>
                    </w:rPr>
                    <w:t>A report on other countries experiences on reporting on labour market</w:t>
                  </w:r>
                </w:p>
              </w:tc>
              <w:tc>
                <w:tcPr>
                  <w:tcW w:w="3042" w:type="dxa"/>
                </w:tcPr>
                <w:p w:rsidR="00CA6B65" w:rsidRPr="00F36810" w:rsidRDefault="00E40D26" w:rsidP="00CA6B65">
                  <w:pPr>
                    <w:jc w:val="center"/>
                    <w:rPr>
                      <w:rFonts w:ascii="Calibri" w:hAnsi="Calibri"/>
                      <w:lang w:val="en-GB"/>
                    </w:rPr>
                  </w:pPr>
                  <w:r>
                    <w:rPr>
                      <w:rFonts w:ascii="Calibri" w:hAnsi="Calibri"/>
                      <w:lang w:val="en-GB"/>
                    </w:rPr>
                    <w:t>By the end of the sixth week</w:t>
                  </w:r>
                </w:p>
              </w:tc>
              <w:tc>
                <w:tcPr>
                  <w:tcW w:w="3034" w:type="dxa"/>
                </w:tcPr>
                <w:p w:rsidR="00F36810" w:rsidRPr="00F36810" w:rsidRDefault="00E40D26" w:rsidP="00F36810">
                  <w:pPr>
                    <w:jc w:val="center"/>
                    <w:rPr>
                      <w:rFonts w:ascii="Calibri" w:hAnsi="Calibri"/>
                      <w:lang w:val="en-GB"/>
                    </w:rPr>
                  </w:pPr>
                  <w:r>
                    <w:rPr>
                      <w:rFonts w:ascii="Calibri" w:hAnsi="Calibri"/>
                      <w:lang w:val="en-GB"/>
                    </w:rPr>
                    <w:t>2</w:t>
                  </w:r>
                  <w:r w:rsidR="00F36810" w:rsidRPr="00F36810">
                    <w:rPr>
                      <w:rFonts w:ascii="Calibri" w:hAnsi="Calibri"/>
                      <w:lang w:val="en-GB"/>
                    </w:rPr>
                    <w:t>0 %</w:t>
                  </w:r>
                </w:p>
              </w:tc>
            </w:tr>
            <w:tr w:rsidR="00CA6B65" w:rsidRPr="00F36810" w:rsidTr="00E40D26">
              <w:tc>
                <w:tcPr>
                  <w:tcW w:w="3048" w:type="dxa"/>
                </w:tcPr>
                <w:p w:rsidR="00CA6B65" w:rsidRPr="00F36810" w:rsidRDefault="00CA6B65" w:rsidP="00F36810">
                  <w:pPr>
                    <w:rPr>
                      <w:rFonts w:ascii="Calibri" w:hAnsi="Calibri"/>
                      <w:lang w:val="en-GB"/>
                    </w:rPr>
                  </w:pPr>
                  <w:r w:rsidRPr="00F36810">
                    <w:rPr>
                      <w:rFonts w:ascii="Calibri" w:hAnsi="Calibri"/>
                      <w:lang w:val="en-GB"/>
                    </w:rPr>
                    <w:t>Labour market reporting manual / SOP</w:t>
                  </w:r>
                  <w:r w:rsidR="00F36810" w:rsidRPr="00F36810">
                    <w:rPr>
                      <w:rFonts w:ascii="Calibri" w:hAnsi="Calibri"/>
                      <w:lang w:val="en-GB"/>
                    </w:rPr>
                    <w:t>.</w:t>
                  </w:r>
                </w:p>
              </w:tc>
              <w:tc>
                <w:tcPr>
                  <w:tcW w:w="3042" w:type="dxa"/>
                </w:tcPr>
                <w:p w:rsidR="00CA6B65" w:rsidRPr="00F36810" w:rsidRDefault="00F36810" w:rsidP="00CA6B65">
                  <w:pPr>
                    <w:jc w:val="center"/>
                    <w:rPr>
                      <w:rFonts w:ascii="Calibri" w:hAnsi="Calibri"/>
                      <w:lang w:val="en-GB"/>
                    </w:rPr>
                  </w:pPr>
                  <w:r w:rsidRPr="00F36810">
                    <w:rPr>
                      <w:rFonts w:ascii="Calibri" w:hAnsi="Calibri"/>
                      <w:lang w:val="en-GB"/>
                    </w:rPr>
                    <w:t>By the end of the tenth week</w:t>
                  </w:r>
                </w:p>
              </w:tc>
              <w:tc>
                <w:tcPr>
                  <w:tcW w:w="3034" w:type="dxa"/>
                </w:tcPr>
                <w:p w:rsidR="00CA6B65" w:rsidRPr="00F36810" w:rsidRDefault="00F36810" w:rsidP="00CA6B65">
                  <w:pPr>
                    <w:jc w:val="center"/>
                    <w:rPr>
                      <w:rFonts w:ascii="Calibri" w:hAnsi="Calibri"/>
                      <w:lang w:val="en-GB"/>
                    </w:rPr>
                  </w:pPr>
                  <w:r w:rsidRPr="00F36810">
                    <w:rPr>
                      <w:rFonts w:ascii="Calibri" w:hAnsi="Calibri"/>
                      <w:lang w:val="en-GB"/>
                    </w:rPr>
                    <w:t>30%</w:t>
                  </w:r>
                </w:p>
              </w:tc>
            </w:tr>
            <w:tr w:rsidR="00CA6B65" w:rsidRPr="00F36810" w:rsidTr="00E40D26">
              <w:tc>
                <w:tcPr>
                  <w:tcW w:w="3048" w:type="dxa"/>
                </w:tcPr>
                <w:p w:rsidR="00CA6B65" w:rsidRPr="00F36810" w:rsidRDefault="00CA6B65" w:rsidP="00F36810">
                  <w:pPr>
                    <w:rPr>
                      <w:rFonts w:ascii="Calibri" w:hAnsi="Calibri"/>
                      <w:lang w:val="en-GB"/>
                    </w:rPr>
                  </w:pPr>
                  <w:r w:rsidRPr="00F36810">
                    <w:rPr>
                      <w:rFonts w:ascii="Calibri" w:hAnsi="Calibri"/>
                      <w:lang w:val="en-GB"/>
                    </w:rPr>
                    <w:t>Review reports developed by issuers for soundness</w:t>
                  </w:r>
                  <w:r w:rsidR="00F36810" w:rsidRPr="00F36810">
                    <w:rPr>
                      <w:rFonts w:ascii="Calibri" w:hAnsi="Calibri"/>
                      <w:lang w:val="en-GB"/>
                    </w:rPr>
                    <w:t>.</w:t>
                  </w:r>
                </w:p>
              </w:tc>
              <w:tc>
                <w:tcPr>
                  <w:tcW w:w="3042" w:type="dxa"/>
                </w:tcPr>
                <w:p w:rsidR="00CA6B65" w:rsidRPr="00F36810" w:rsidRDefault="00F36810" w:rsidP="00CA6B65">
                  <w:pPr>
                    <w:jc w:val="center"/>
                    <w:rPr>
                      <w:rFonts w:ascii="Calibri" w:hAnsi="Calibri"/>
                      <w:lang w:val="en-GB"/>
                    </w:rPr>
                  </w:pPr>
                  <w:r w:rsidRPr="00F36810">
                    <w:rPr>
                      <w:rFonts w:ascii="Calibri" w:hAnsi="Calibri"/>
                      <w:lang w:val="en-GB"/>
                    </w:rPr>
                    <w:t>By the end of t</w:t>
                  </w:r>
                  <w:r w:rsidR="00E40D26">
                    <w:rPr>
                      <w:rFonts w:ascii="Calibri" w:hAnsi="Calibri"/>
                      <w:lang w:val="en-GB"/>
                    </w:rPr>
                    <w:t>he twelfth</w:t>
                  </w:r>
                  <w:r w:rsidRPr="00F36810">
                    <w:rPr>
                      <w:rFonts w:ascii="Calibri" w:hAnsi="Calibri"/>
                      <w:lang w:val="en-GB"/>
                    </w:rPr>
                    <w:t xml:space="preserve"> week</w:t>
                  </w:r>
                </w:p>
              </w:tc>
              <w:tc>
                <w:tcPr>
                  <w:tcW w:w="3034" w:type="dxa"/>
                </w:tcPr>
                <w:p w:rsidR="00CA6B65" w:rsidRPr="00F36810" w:rsidRDefault="00E40D26" w:rsidP="00CA6B65">
                  <w:pPr>
                    <w:jc w:val="center"/>
                    <w:rPr>
                      <w:rFonts w:ascii="Calibri" w:hAnsi="Calibri"/>
                      <w:lang w:val="en-GB"/>
                    </w:rPr>
                  </w:pPr>
                  <w:r>
                    <w:rPr>
                      <w:rFonts w:ascii="Calibri" w:hAnsi="Calibri"/>
                      <w:lang w:val="en-GB"/>
                    </w:rPr>
                    <w:t>10</w:t>
                  </w:r>
                  <w:r w:rsidR="00F36810" w:rsidRPr="00F36810">
                    <w:rPr>
                      <w:rFonts w:ascii="Calibri" w:hAnsi="Calibri"/>
                      <w:lang w:val="en-GB"/>
                    </w:rPr>
                    <w:t>%</w:t>
                  </w:r>
                </w:p>
              </w:tc>
            </w:tr>
          </w:tbl>
          <w:p w:rsidR="00CE6CD8" w:rsidRPr="00F36810" w:rsidRDefault="00CE6CD8" w:rsidP="00EA697D">
            <w:pPr>
              <w:spacing w:line="360" w:lineRule="auto"/>
              <w:rPr>
                <w:i/>
                <w:lang w:val="en-GB"/>
              </w:rPr>
            </w:pPr>
          </w:p>
          <w:p w:rsidR="00CE6CD8" w:rsidRPr="00F36810" w:rsidRDefault="00F36810" w:rsidP="00F36810">
            <w:pPr>
              <w:spacing w:line="360" w:lineRule="auto"/>
              <w:rPr>
                <w:iCs/>
              </w:rPr>
            </w:pPr>
            <w:r w:rsidRPr="00F36810">
              <w:rPr>
                <w:iCs/>
              </w:rPr>
              <w:t>Technical Evaluation Criteria</w:t>
            </w:r>
          </w:p>
          <w:tbl>
            <w:tblPr>
              <w:tblStyle w:val="TableGrid"/>
              <w:tblW w:w="0" w:type="auto"/>
              <w:tblLook w:val="04A0" w:firstRow="1" w:lastRow="0" w:firstColumn="1" w:lastColumn="0" w:noHBand="0" w:noVBand="1"/>
            </w:tblPr>
            <w:tblGrid>
              <w:gridCol w:w="3170"/>
              <w:gridCol w:w="2991"/>
              <w:gridCol w:w="2963"/>
            </w:tblGrid>
            <w:tr w:rsidR="00EA697D" w:rsidRPr="00F36810" w:rsidTr="00F36810">
              <w:tc>
                <w:tcPr>
                  <w:tcW w:w="3234" w:type="dxa"/>
                  <w:shd w:val="clear" w:color="auto" w:fill="BFBFBF" w:themeFill="background1" w:themeFillShade="BF"/>
                </w:tcPr>
                <w:p w:rsidR="00EA697D" w:rsidRPr="00F36810" w:rsidRDefault="00EA697D" w:rsidP="0060250C">
                  <w:pPr>
                    <w:spacing w:line="360" w:lineRule="auto"/>
                    <w:rPr>
                      <w:b/>
                      <w:iCs/>
                    </w:rPr>
                  </w:pPr>
                  <w:r w:rsidRPr="00F36810">
                    <w:rPr>
                      <w:b/>
                      <w:iCs/>
                    </w:rPr>
                    <w:t>Criteria</w:t>
                  </w:r>
                </w:p>
              </w:tc>
              <w:tc>
                <w:tcPr>
                  <w:tcW w:w="3069" w:type="dxa"/>
                  <w:shd w:val="clear" w:color="auto" w:fill="BFBFBF" w:themeFill="background1" w:themeFillShade="BF"/>
                </w:tcPr>
                <w:p w:rsidR="00EA697D" w:rsidRPr="00F36810" w:rsidRDefault="00EA697D" w:rsidP="0060250C">
                  <w:pPr>
                    <w:spacing w:line="360" w:lineRule="auto"/>
                    <w:rPr>
                      <w:b/>
                      <w:iCs/>
                    </w:rPr>
                  </w:pPr>
                  <w:r w:rsidRPr="00F36810">
                    <w:rPr>
                      <w:b/>
                      <w:iCs/>
                    </w:rPr>
                    <w:t>Weight</w:t>
                  </w:r>
                </w:p>
              </w:tc>
              <w:tc>
                <w:tcPr>
                  <w:tcW w:w="3047" w:type="dxa"/>
                  <w:shd w:val="clear" w:color="auto" w:fill="BFBFBF" w:themeFill="background1" w:themeFillShade="BF"/>
                </w:tcPr>
                <w:p w:rsidR="00EA697D" w:rsidRPr="00F36810" w:rsidRDefault="00EA697D" w:rsidP="0060250C">
                  <w:pPr>
                    <w:spacing w:line="360" w:lineRule="auto"/>
                    <w:rPr>
                      <w:b/>
                      <w:iCs/>
                    </w:rPr>
                  </w:pPr>
                  <w:r w:rsidRPr="00F36810">
                    <w:rPr>
                      <w:b/>
                      <w:iCs/>
                    </w:rPr>
                    <w:t>Max. Point</w:t>
                  </w:r>
                </w:p>
              </w:tc>
            </w:tr>
            <w:tr w:rsidR="00EA697D" w:rsidRPr="00F36810" w:rsidTr="00F36810">
              <w:tc>
                <w:tcPr>
                  <w:tcW w:w="3234" w:type="dxa"/>
                </w:tcPr>
                <w:p w:rsidR="00EA697D" w:rsidRPr="00F36810" w:rsidRDefault="00F36810" w:rsidP="00F36810">
                  <w:pPr>
                    <w:rPr>
                      <w:rFonts w:ascii="Calibri" w:hAnsi="Calibri"/>
                      <w:lang w:val="en-GB"/>
                    </w:rPr>
                  </w:pPr>
                  <w:r w:rsidRPr="00F36810">
                    <w:rPr>
                      <w:rFonts w:ascii="Calibri" w:hAnsi="Calibri"/>
                      <w:lang w:val="en-GB"/>
                    </w:rPr>
                    <w:t>Meeting requirements of experience and education</w:t>
                  </w:r>
                </w:p>
              </w:tc>
              <w:tc>
                <w:tcPr>
                  <w:tcW w:w="3069" w:type="dxa"/>
                </w:tcPr>
                <w:p w:rsidR="00EA697D" w:rsidRPr="00F36810" w:rsidRDefault="00F36810" w:rsidP="00F36810">
                  <w:pPr>
                    <w:spacing w:line="360" w:lineRule="auto"/>
                    <w:jc w:val="center"/>
                    <w:rPr>
                      <w:iCs/>
                    </w:rPr>
                  </w:pPr>
                  <w:r w:rsidRPr="00F36810">
                    <w:rPr>
                      <w:iCs/>
                    </w:rPr>
                    <w:t>30 %</w:t>
                  </w:r>
                </w:p>
              </w:tc>
              <w:tc>
                <w:tcPr>
                  <w:tcW w:w="3047" w:type="dxa"/>
                </w:tcPr>
                <w:p w:rsidR="00EA697D" w:rsidRPr="00F36810" w:rsidRDefault="00F36810" w:rsidP="00F36810">
                  <w:pPr>
                    <w:spacing w:line="360" w:lineRule="auto"/>
                    <w:jc w:val="center"/>
                    <w:rPr>
                      <w:iCs/>
                    </w:rPr>
                  </w:pPr>
                  <w:r w:rsidRPr="00F36810">
                    <w:rPr>
                      <w:iCs/>
                    </w:rPr>
                    <w:t>30</w:t>
                  </w:r>
                </w:p>
              </w:tc>
            </w:tr>
            <w:tr w:rsidR="00EA697D" w:rsidRPr="00F36810" w:rsidTr="00F36810">
              <w:tc>
                <w:tcPr>
                  <w:tcW w:w="3234" w:type="dxa"/>
                </w:tcPr>
                <w:p w:rsidR="00EA697D" w:rsidRPr="00F36810" w:rsidRDefault="00F36810" w:rsidP="00F36810">
                  <w:pPr>
                    <w:rPr>
                      <w:rFonts w:ascii="Calibri" w:hAnsi="Calibri"/>
                      <w:lang w:val="en-GB"/>
                    </w:rPr>
                  </w:pPr>
                  <w:r w:rsidRPr="00F36810">
                    <w:rPr>
                      <w:rFonts w:ascii="Calibri" w:hAnsi="Calibri"/>
                      <w:lang w:val="en-GB"/>
                    </w:rPr>
                    <w:t>Suggested approach / methodology to scope of work</w:t>
                  </w:r>
                </w:p>
              </w:tc>
              <w:tc>
                <w:tcPr>
                  <w:tcW w:w="3069" w:type="dxa"/>
                </w:tcPr>
                <w:p w:rsidR="00EA697D" w:rsidRPr="00F36810" w:rsidRDefault="00F36810" w:rsidP="00F36810">
                  <w:pPr>
                    <w:spacing w:line="360" w:lineRule="auto"/>
                    <w:jc w:val="center"/>
                    <w:rPr>
                      <w:iCs/>
                    </w:rPr>
                  </w:pPr>
                  <w:r w:rsidRPr="00F36810">
                    <w:rPr>
                      <w:iCs/>
                    </w:rPr>
                    <w:t>40%</w:t>
                  </w:r>
                </w:p>
              </w:tc>
              <w:tc>
                <w:tcPr>
                  <w:tcW w:w="3047" w:type="dxa"/>
                </w:tcPr>
                <w:p w:rsidR="00EA697D" w:rsidRPr="00F36810" w:rsidRDefault="00F36810" w:rsidP="00F36810">
                  <w:pPr>
                    <w:spacing w:line="360" w:lineRule="auto"/>
                    <w:jc w:val="center"/>
                    <w:rPr>
                      <w:iCs/>
                    </w:rPr>
                  </w:pPr>
                  <w:r w:rsidRPr="00F36810">
                    <w:rPr>
                      <w:iCs/>
                    </w:rPr>
                    <w:t>40</w:t>
                  </w:r>
                </w:p>
              </w:tc>
            </w:tr>
            <w:tr w:rsidR="00EA697D" w:rsidRPr="00F36810" w:rsidTr="00F36810">
              <w:tc>
                <w:tcPr>
                  <w:tcW w:w="3234" w:type="dxa"/>
                </w:tcPr>
                <w:p w:rsidR="00EA697D" w:rsidRPr="00F36810" w:rsidRDefault="00F36810" w:rsidP="00F36810">
                  <w:pPr>
                    <w:rPr>
                      <w:rFonts w:ascii="Calibri" w:hAnsi="Calibri"/>
                      <w:lang w:val="en-GB"/>
                    </w:rPr>
                  </w:pPr>
                  <w:r w:rsidRPr="00F36810">
                    <w:rPr>
                      <w:rFonts w:ascii="Calibri" w:hAnsi="Calibri"/>
                      <w:lang w:val="en-GB"/>
                    </w:rPr>
                    <w:t>Proven facilitation and knowledge transfer skills</w:t>
                  </w:r>
                </w:p>
              </w:tc>
              <w:tc>
                <w:tcPr>
                  <w:tcW w:w="3069" w:type="dxa"/>
                </w:tcPr>
                <w:p w:rsidR="00EA697D" w:rsidRPr="00F36810" w:rsidRDefault="00F36810" w:rsidP="00F36810">
                  <w:pPr>
                    <w:spacing w:line="360" w:lineRule="auto"/>
                    <w:jc w:val="center"/>
                    <w:rPr>
                      <w:iCs/>
                    </w:rPr>
                  </w:pPr>
                  <w:r w:rsidRPr="00F36810">
                    <w:rPr>
                      <w:iCs/>
                    </w:rPr>
                    <w:t>30%</w:t>
                  </w:r>
                </w:p>
              </w:tc>
              <w:tc>
                <w:tcPr>
                  <w:tcW w:w="3047" w:type="dxa"/>
                </w:tcPr>
                <w:p w:rsidR="00EA697D" w:rsidRPr="00F36810" w:rsidRDefault="00F36810" w:rsidP="00F36810">
                  <w:pPr>
                    <w:spacing w:line="360" w:lineRule="auto"/>
                    <w:jc w:val="center"/>
                    <w:rPr>
                      <w:iCs/>
                    </w:rPr>
                  </w:pPr>
                  <w:r w:rsidRPr="00F36810">
                    <w:rPr>
                      <w:iCs/>
                    </w:rPr>
                    <w:t>30</w:t>
                  </w:r>
                </w:p>
              </w:tc>
            </w:tr>
          </w:tbl>
          <w:p w:rsidR="00443E94" w:rsidRPr="00F36810" w:rsidRDefault="00443E94" w:rsidP="00A24134">
            <w:pPr>
              <w:rPr>
                <w:b/>
              </w:rPr>
            </w:pPr>
          </w:p>
          <w:p w:rsidR="00F36810" w:rsidRDefault="00F36810" w:rsidP="00A24134">
            <w:pPr>
              <w:rPr>
                <w:b/>
              </w:rPr>
            </w:pPr>
          </w:p>
        </w:tc>
      </w:tr>
    </w:tbl>
    <w:p w:rsidR="00103276" w:rsidRDefault="00103276" w:rsidP="00103276">
      <w:pPr>
        <w:rPr>
          <w:b/>
        </w:rPr>
      </w:pPr>
      <w:r>
        <w:rPr>
          <w:b/>
        </w:rPr>
        <w:lastRenderedPageBreak/>
        <w:t xml:space="preserve">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9D" w:rsidRDefault="00D20C9D" w:rsidP="00A24134">
      <w:pPr>
        <w:spacing w:after="0" w:line="240" w:lineRule="auto"/>
      </w:pPr>
      <w:r>
        <w:separator/>
      </w:r>
    </w:p>
  </w:endnote>
  <w:endnote w:type="continuationSeparator" w:id="0">
    <w:p w:rsidR="00D20C9D" w:rsidRDefault="00D20C9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9D" w:rsidRDefault="00D20C9D" w:rsidP="00A24134">
      <w:pPr>
        <w:spacing w:after="0" w:line="240" w:lineRule="auto"/>
      </w:pPr>
      <w:r>
        <w:separator/>
      </w:r>
    </w:p>
  </w:footnote>
  <w:footnote w:type="continuationSeparator" w:id="0">
    <w:p w:rsidR="00D20C9D" w:rsidRDefault="00D20C9D"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4.8pt;height:4.8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E34214"/>
    <w:multiLevelType w:val="hybridMultilevel"/>
    <w:tmpl w:val="85C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3A7E"/>
    <w:multiLevelType w:val="hybridMultilevel"/>
    <w:tmpl w:val="874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B3D21"/>
    <w:multiLevelType w:val="hybridMultilevel"/>
    <w:tmpl w:val="2580F510"/>
    <w:lvl w:ilvl="0" w:tplc="B2B2C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6218D"/>
    <w:multiLevelType w:val="multilevel"/>
    <w:tmpl w:val="B5F06B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41C3B"/>
    <w:multiLevelType w:val="hybridMultilevel"/>
    <w:tmpl w:val="5984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470B2"/>
    <w:multiLevelType w:val="hybridMultilevel"/>
    <w:tmpl w:val="EB3619EC"/>
    <w:lvl w:ilvl="0" w:tplc="6A408FF4">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751A3"/>
    <w:multiLevelType w:val="hybridMultilevel"/>
    <w:tmpl w:val="1EB2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3329A"/>
    <w:multiLevelType w:val="hybridMultilevel"/>
    <w:tmpl w:val="44F4A960"/>
    <w:lvl w:ilvl="0" w:tplc="6EA401D6">
      <w:start w:val="1"/>
      <w:numFmt w:val="decimal"/>
      <w:pStyle w:val="Style1"/>
      <w:lvlText w:val="%1."/>
      <w:lvlJc w:val="left"/>
      <w:pPr>
        <w:tabs>
          <w:tab w:val="num" w:pos="644"/>
        </w:tabs>
        <w:ind w:left="644" w:hanging="360"/>
      </w:pPr>
    </w:lvl>
    <w:lvl w:ilvl="1" w:tplc="0409000F">
      <w:start w:val="1"/>
      <w:numFmt w:val="decimal"/>
      <w:lvlText w:val="%2."/>
      <w:lvlJc w:val="left"/>
      <w:pPr>
        <w:tabs>
          <w:tab w:val="num" w:pos="360"/>
        </w:tabs>
        <w:ind w:left="360" w:hanging="360"/>
      </w:pPr>
    </w:lvl>
    <w:lvl w:ilvl="2" w:tplc="5E1E10E4">
      <w:start w:val="1"/>
      <w:numFmt w:val="bullet"/>
      <w:lvlText w:val=""/>
      <w:lvlJc w:val="left"/>
      <w:pPr>
        <w:tabs>
          <w:tab w:val="num" w:pos="360"/>
        </w:tabs>
        <w:ind w:left="360" w:hanging="360"/>
      </w:pPr>
      <w:rPr>
        <w:rFonts w:ascii="Symbol" w:hAnsi="Symbol" w:hint="default"/>
        <w:sz w:val="16"/>
      </w:rPr>
    </w:lvl>
    <w:lvl w:ilvl="3" w:tplc="5E1E10E4">
      <w:start w:val="1"/>
      <w:numFmt w:val="bullet"/>
      <w:lvlText w:val=""/>
      <w:lvlJc w:val="left"/>
      <w:pPr>
        <w:tabs>
          <w:tab w:val="num" w:pos="360"/>
        </w:tabs>
        <w:ind w:left="360" w:hanging="360"/>
      </w:pPr>
      <w:rPr>
        <w:rFonts w:ascii="Symbol" w:hAnsi="Symbol" w:hint="default"/>
        <w:sz w:val="16"/>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D473F"/>
    <w:multiLevelType w:val="multilevel"/>
    <w:tmpl w:val="4F0E36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AD41BB"/>
    <w:multiLevelType w:val="hybridMultilevel"/>
    <w:tmpl w:val="B93A7A7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0"/>
  </w:num>
  <w:num w:numId="2">
    <w:abstractNumId w:val="3"/>
  </w:num>
  <w:num w:numId="3">
    <w:abstractNumId w:val="14"/>
  </w:num>
  <w:num w:numId="4">
    <w:abstractNumId w:val="2"/>
  </w:num>
  <w:num w:numId="5">
    <w:abstractNumId w:val="12"/>
  </w:num>
  <w:num w:numId="6">
    <w:abstractNumId w:val="13"/>
  </w:num>
  <w:num w:numId="7">
    <w:abstractNumId w:val="15"/>
  </w:num>
  <w:num w:numId="8">
    <w:abstractNumId w:val="7"/>
  </w:num>
  <w:num w:numId="9">
    <w:abstractNumId w:val="17"/>
  </w:num>
  <w:num w:numId="10">
    <w:abstractNumId w:val="8"/>
  </w:num>
  <w:num w:numId="11">
    <w:abstractNumId w:val="11"/>
  </w:num>
  <w:num w:numId="12">
    <w:abstractNumId w:val="16"/>
  </w:num>
  <w:num w:numId="13">
    <w:abstractNumId w:val="9"/>
  </w:num>
  <w:num w:numId="14">
    <w:abstractNumId w:val="6"/>
  </w:num>
  <w:num w:numId="15">
    <w:abstractNumId w:val="4"/>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7DA8"/>
    <w:rsid w:val="00086485"/>
    <w:rsid w:val="000964DE"/>
    <w:rsid w:val="000E2C6B"/>
    <w:rsid w:val="000E45E5"/>
    <w:rsid w:val="00103276"/>
    <w:rsid w:val="00134A66"/>
    <w:rsid w:val="001473B3"/>
    <w:rsid w:val="00180DF8"/>
    <w:rsid w:val="001A0DCE"/>
    <w:rsid w:val="001E30BA"/>
    <w:rsid w:val="002223E0"/>
    <w:rsid w:val="002A1486"/>
    <w:rsid w:val="002B197A"/>
    <w:rsid w:val="002E5339"/>
    <w:rsid w:val="002F4D8C"/>
    <w:rsid w:val="002F799A"/>
    <w:rsid w:val="0033411B"/>
    <w:rsid w:val="003754C3"/>
    <w:rsid w:val="003812A9"/>
    <w:rsid w:val="003836C0"/>
    <w:rsid w:val="00385D2E"/>
    <w:rsid w:val="003A22D4"/>
    <w:rsid w:val="003B0C3C"/>
    <w:rsid w:val="003E1F72"/>
    <w:rsid w:val="003F0258"/>
    <w:rsid w:val="00432027"/>
    <w:rsid w:val="00440ECE"/>
    <w:rsid w:val="00443E94"/>
    <w:rsid w:val="004758AA"/>
    <w:rsid w:val="004A2B79"/>
    <w:rsid w:val="004D3F24"/>
    <w:rsid w:val="005B038A"/>
    <w:rsid w:val="005F1B65"/>
    <w:rsid w:val="0063524A"/>
    <w:rsid w:val="0065710B"/>
    <w:rsid w:val="00676AD5"/>
    <w:rsid w:val="006C491D"/>
    <w:rsid w:val="006E1090"/>
    <w:rsid w:val="007354EA"/>
    <w:rsid w:val="007650C2"/>
    <w:rsid w:val="007C4235"/>
    <w:rsid w:val="007D382E"/>
    <w:rsid w:val="007E4F76"/>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912B9"/>
    <w:rsid w:val="00993E07"/>
    <w:rsid w:val="009E2B22"/>
    <w:rsid w:val="00A030A0"/>
    <w:rsid w:val="00A24134"/>
    <w:rsid w:val="00A6756E"/>
    <w:rsid w:val="00A83454"/>
    <w:rsid w:val="00A84AEE"/>
    <w:rsid w:val="00AA4872"/>
    <w:rsid w:val="00AA76B6"/>
    <w:rsid w:val="00AB505F"/>
    <w:rsid w:val="00AC6F4C"/>
    <w:rsid w:val="00AF3C0C"/>
    <w:rsid w:val="00AF6929"/>
    <w:rsid w:val="00B01367"/>
    <w:rsid w:val="00B2445F"/>
    <w:rsid w:val="00B438A3"/>
    <w:rsid w:val="00B60FD8"/>
    <w:rsid w:val="00B879BD"/>
    <w:rsid w:val="00C22E07"/>
    <w:rsid w:val="00C626B5"/>
    <w:rsid w:val="00C62F49"/>
    <w:rsid w:val="00C64099"/>
    <w:rsid w:val="00CA6B65"/>
    <w:rsid w:val="00CE6CD8"/>
    <w:rsid w:val="00CF522C"/>
    <w:rsid w:val="00D17475"/>
    <w:rsid w:val="00D20C9D"/>
    <w:rsid w:val="00D2659A"/>
    <w:rsid w:val="00D92FCE"/>
    <w:rsid w:val="00DA646F"/>
    <w:rsid w:val="00DB0EB6"/>
    <w:rsid w:val="00DB77DD"/>
    <w:rsid w:val="00DB7F57"/>
    <w:rsid w:val="00DD3BA3"/>
    <w:rsid w:val="00DE1432"/>
    <w:rsid w:val="00E40D26"/>
    <w:rsid w:val="00E430E5"/>
    <w:rsid w:val="00E56341"/>
    <w:rsid w:val="00E8310E"/>
    <w:rsid w:val="00E90323"/>
    <w:rsid w:val="00E94857"/>
    <w:rsid w:val="00EA50D0"/>
    <w:rsid w:val="00EA697D"/>
    <w:rsid w:val="00ED649B"/>
    <w:rsid w:val="00F36810"/>
    <w:rsid w:val="00F40EEB"/>
    <w:rsid w:val="00F662A3"/>
    <w:rsid w:val="00F7753E"/>
    <w:rsid w:val="00F9130D"/>
    <w:rsid w:val="00F918E6"/>
    <w:rsid w:val="00FD379D"/>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A834B-F675-43FD-84F9-30167074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2E53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semiHidden/>
    <w:unhideWhenUsed/>
    <w:rsid w:val="00F918E6"/>
    <w:pPr>
      <w:spacing w:line="240" w:lineRule="auto"/>
    </w:pPr>
    <w:rPr>
      <w:sz w:val="20"/>
      <w:szCs w:val="20"/>
    </w:rPr>
  </w:style>
  <w:style w:type="character" w:customStyle="1" w:styleId="CommentTextChar">
    <w:name w:val="Comment Text Char"/>
    <w:basedOn w:val="DefaultParagraphFont"/>
    <w:link w:val="CommentText"/>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Style1">
    <w:name w:val="Style1"/>
    <w:basedOn w:val="Heading1"/>
    <w:qFormat/>
    <w:rsid w:val="002E5339"/>
    <w:pPr>
      <w:keepLines w:val="0"/>
      <w:numPr>
        <w:numId w:val="11"/>
      </w:numPr>
      <w:tabs>
        <w:tab w:val="clear" w:pos="644"/>
        <w:tab w:val="num" w:pos="360"/>
      </w:tabs>
      <w:spacing w:before="0" w:line="240" w:lineRule="auto"/>
      <w:ind w:left="0" w:firstLine="0"/>
    </w:pPr>
    <w:rPr>
      <w:rFonts w:ascii="Calibri" w:eastAsia="Times New Roman" w:hAnsi="Calibri" w:cs="Arial"/>
      <w:b/>
      <w:bCs/>
      <w:color w:val="auto"/>
      <w:sz w:val="28"/>
      <w:szCs w:val="28"/>
      <w:lang w:val="en-GB"/>
    </w:rPr>
  </w:style>
  <w:style w:type="character" w:customStyle="1" w:styleId="Heading1Char">
    <w:name w:val="Heading 1 Char"/>
    <w:basedOn w:val="DefaultParagraphFont"/>
    <w:link w:val="Heading1"/>
    <w:uiPriority w:val="9"/>
    <w:rsid w:val="002E53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2017-06-14T18:00:00+00:00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1482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00087622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ATLASPDC-4-65077</_dlc_DocId>
    <_dlc_DocIdUrl xmlns="f1161f5b-24a3-4c2d-bc81-44cb9325e8ee">
      <Url>https://info.undp.org/docs/pdc/_layouts/DocIdRedir.aspx?ID=ATLASPDC-4-65077</Url>
      <Description>ATLASPDC-4-65077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E4F99E9-6C8A-4EB5-9911-9939AAAB6DA7}"/>
</file>

<file path=customXml/itemProps2.xml><?xml version="1.0" encoding="utf-8"?>
<ds:datastoreItem xmlns:ds="http://schemas.openxmlformats.org/officeDocument/2006/customXml" ds:itemID="{CCC10990-E329-427E-A3C2-09C944E50437}"/>
</file>

<file path=customXml/itemProps3.xml><?xml version="1.0" encoding="utf-8"?>
<ds:datastoreItem xmlns:ds="http://schemas.openxmlformats.org/officeDocument/2006/customXml" ds:itemID="{44EA3A3B-CBA7-4754-AE16-A61A891A3D96}"/>
</file>

<file path=customXml/itemProps4.xml><?xml version="1.0" encoding="utf-8"?>
<ds:datastoreItem xmlns:ds="http://schemas.openxmlformats.org/officeDocument/2006/customXml" ds:itemID="{F5FFE698-B3B8-42FD-824C-581C03C7EF3B}"/>
</file>

<file path=customXml/itemProps5.xml><?xml version="1.0" encoding="utf-8"?>
<ds:datastoreItem xmlns:ds="http://schemas.openxmlformats.org/officeDocument/2006/customXml" ds:itemID="{2E4CE253-FE4E-4569-BFD4-96D0FCDE8F7C}"/>
</file>

<file path=customXml/itemProps6.xml><?xml version="1.0" encoding="utf-8"?>
<ds:datastoreItem xmlns:ds="http://schemas.openxmlformats.org/officeDocument/2006/customXml" ds:itemID="{2E659C85-5F03-4DEB-A2E1-63721B8143F2}"/>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Labour Market reseracher </dc:title>
  <dc:subject/>
  <dc:creator>UNDP Kuwait - Procurment Dept.</dc:creator>
  <cp:lastModifiedBy>Amira Al-Zayyat</cp:lastModifiedBy>
  <cp:revision>2</cp:revision>
  <cp:lastPrinted>2011-03-24T14:16:00Z</cp:lastPrinted>
  <dcterms:created xsi:type="dcterms:W3CDTF">2017-03-20T08:01:00Z</dcterms:created>
  <dcterms:modified xsi:type="dcterms:W3CDTF">2017-03-20T08:01:00Z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dd8c2b3c-5aab-4ef5-87a4-cbb4703afa44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